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C2" w:rsidRDefault="008307C2">
      <w:pPr>
        <w:autoSpaceDE w:val="0"/>
        <w:jc w:val="right"/>
        <w:outlineLvl w:val="0"/>
        <w:rPr>
          <w:sz w:val="22"/>
          <w:szCs w:val="22"/>
        </w:rPr>
      </w:pPr>
    </w:p>
    <w:p w:rsidR="008307C2" w:rsidRDefault="008307C2">
      <w:pPr>
        <w:rPr>
          <w:sz w:val="22"/>
          <w:szCs w:val="22"/>
        </w:rPr>
      </w:pPr>
    </w:p>
    <w:p w:rsidR="008307C2" w:rsidRDefault="00F1383A">
      <w:pPr>
        <w:jc w:val="center"/>
        <w:rPr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>
            <wp:extent cx="814070" cy="101092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5" t="-14" r="-15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7C2" w:rsidRDefault="008307C2">
      <w:pPr>
        <w:rPr>
          <w:sz w:val="22"/>
          <w:szCs w:val="22"/>
        </w:rPr>
      </w:pPr>
    </w:p>
    <w:p w:rsidR="008307C2" w:rsidRDefault="008307C2">
      <w:pPr>
        <w:rPr>
          <w:sz w:val="22"/>
          <w:szCs w:val="22"/>
        </w:rPr>
      </w:pPr>
    </w:p>
    <w:p w:rsidR="008307C2" w:rsidRDefault="00F1383A">
      <w:pPr>
        <w:jc w:val="center"/>
      </w:pPr>
      <w:r>
        <w:t>АДМИНИСТРАЦИЯ</w:t>
      </w:r>
    </w:p>
    <w:p w:rsidR="008307C2" w:rsidRDefault="00F1383A">
      <w:pPr>
        <w:jc w:val="center"/>
      </w:pPr>
      <w:r>
        <w:t>МУНИЦИПАЛЬНОГО РАЙОНА</w:t>
      </w:r>
    </w:p>
    <w:p w:rsidR="008307C2" w:rsidRDefault="00F1383A">
      <w:pPr>
        <w:jc w:val="center"/>
      </w:pPr>
      <w:r>
        <w:t>«МЕДЫНСКИЙ РАЙОН»</w:t>
      </w:r>
    </w:p>
    <w:p w:rsidR="008307C2" w:rsidRDefault="008307C2">
      <w:pPr>
        <w:jc w:val="center"/>
        <w:rPr>
          <w:sz w:val="4"/>
        </w:rPr>
      </w:pPr>
    </w:p>
    <w:p w:rsidR="008307C2" w:rsidRDefault="00F1383A">
      <w:pPr>
        <w:jc w:val="center"/>
      </w:pPr>
      <w:r>
        <w:t>КАЛУЖСКАЯ ОБЛАСТЬ</w:t>
      </w:r>
    </w:p>
    <w:p w:rsidR="008307C2" w:rsidRDefault="00F1383A">
      <w:pPr>
        <w:pStyle w:val="1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ПОСТАНОВЛЕНИЕ</w:t>
      </w:r>
    </w:p>
    <w:p w:rsidR="008307C2" w:rsidRDefault="008307C2">
      <w:pPr>
        <w:jc w:val="center"/>
        <w:rPr>
          <w:b/>
          <w:sz w:val="22"/>
          <w:szCs w:val="22"/>
        </w:rPr>
      </w:pPr>
    </w:p>
    <w:p w:rsidR="008307C2" w:rsidRDefault="008307C2">
      <w:pPr>
        <w:jc w:val="center"/>
        <w:rPr>
          <w:sz w:val="22"/>
          <w:szCs w:val="22"/>
        </w:rPr>
      </w:pPr>
    </w:p>
    <w:p w:rsidR="008307C2" w:rsidRDefault="008307C2">
      <w:pPr>
        <w:jc w:val="center"/>
        <w:rPr>
          <w:sz w:val="22"/>
          <w:szCs w:val="22"/>
        </w:rPr>
      </w:pPr>
    </w:p>
    <w:p w:rsidR="008307C2" w:rsidRDefault="00F1383A">
      <w:r>
        <w:t xml:space="preserve">от  </w:t>
      </w:r>
      <w:r w:rsidR="0036599B">
        <w:t>04</w:t>
      </w:r>
      <w:r>
        <w:t>.</w:t>
      </w:r>
      <w:r w:rsidR="0036599B">
        <w:t>10</w:t>
      </w:r>
      <w:r>
        <w:t>.20</w:t>
      </w:r>
      <w:r w:rsidR="0036599B">
        <w:t>22</w:t>
      </w:r>
      <w:r>
        <w:t xml:space="preserve"> г.                                                                                 </w:t>
      </w:r>
      <w:r w:rsidR="0036599B">
        <w:t xml:space="preserve">                            №  </w:t>
      </w:r>
      <w:r w:rsidR="00C05838">
        <w:t>6</w:t>
      </w:r>
      <w:r w:rsidR="005E2C65">
        <w:t>8</w:t>
      </w:r>
      <w:r w:rsidR="00C05838">
        <w:t>2</w:t>
      </w:r>
    </w:p>
    <w:p w:rsidR="008307C2" w:rsidRDefault="008307C2">
      <w:pPr>
        <w:jc w:val="both"/>
        <w:rPr>
          <w:sz w:val="22"/>
          <w:szCs w:val="22"/>
        </w:rPr>
      </w:pPr>
    </w:p>
    <w:p w:rsidR="008307C2" w:rsidRDefault="008307C2">
      <w:pPr>
        <w:jc w:val="both"/>
        <w:rPr>
          <w:sz w:val="22"/>
          <w:szCs w:val="22"/>
        </w:rPr>
      </w:pPr>
    </w:p>
    <w:p w:rsidR="008307C2" w:rsidRDefault="008307C2">
      <w:pPr>
        <w:jc w:val="both"/>
        <w:rPr>
          <w:sz w:val="22"/>
          <w:szCs w:val="22"/>
        </w:rPr>
      </w:pPr>
    </w:p>
    <w:p w:rsidR="008307C2" w:rsidRDefault="00F1383A">
      <w:pPr>
        <w:pStyle w:val="ConsPlusTitle"/>
        <w:widowControl/>
      </w:pPr>
      <w:r>
        <w:rPr>
          <w:sz w:val="26"/>
          <w:szCs w:val="26"/>
        </w:rPr>
        <w:t>Об утверждении муниципальной программы</w:t>
      </w:r>
    </w:p>
    <w:p w:rsidR="008307C2" w:rsidRDefault="00F1383A">
      <w:pPr>
        <w:autoSpaceDE w:val="0"/>
      </w:pPr>
      <w:r>
        <w:rPr>
          <w:b/>
          <w:sz w:val="26"/>
          <w:szCs w:val="26"/>
        </w:rPr>
        <w:t xml:space="preserve">городского поселения «Город Медынь» </w:t>
      </w:r>
    </w:p>
    <w:p w:rsidR="008307C2" w:rsidRDefault="00F1383A">
      <w:pPr>
        <w:autoSpaceDE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«Энергосбережение и повышение энергоэффективности </w:t>
      </w:r>
    </w:p>
    <w:p w:rsidR="008307C2" w:rsidRDefault="00F1383A">
      <w:pPr>
        <w:autoSpaceDE w:val="0"/>
        <w:rPr>
          <w:b/>
          <w:sz w:val="26"/>
          <w:szCs w:val="26"/>
        </w:rPr>
      </w:pPr>
      <w:r>
        <w:rPr>
          <w:b/>
          <w:sz w:val="26"/>
          <w:szCs w:val="26"/>
        </w:rPr>
        <w:t>в  городском поселении  «Город Медынь»</w:t>
      </w:r>
    </w:p>
    <w:p w:rsidR="008307C2" w:rsidRDefault="008307C2">
      <w:pPr>
        <w:autoSpaceDE w:val="0"/>
        <w:rPr>
          <w:b/>
          <w:sz w:val="26"/>
          <w:szCs w:val="26"/>
        </w:rPr>
      </w:pPr>
    </w:p>
    <w:p w:rsidR="008307C2" w:rsidRDefault="008307C2">
      <w:pPr>
        <w:autoSpaceDE w:val="0"/>
        <w:rPr>
          <w:b/>
          <w:sz w:val="26"/>
          <w:szCs w:val="26"/>
        </w:rPr>
      </w:pPr>
    </w:p>
    <w:p w:rsidR="008307C2" w:rsidRDefault="00F1383A">
      <w:pPr>
        <w:autoSpaceDE w:val="0"/>
        <w:ind w:firstLine="540"/>
        <w:jc w:val="both"/>
      </w:pPr>
      <w:r>
        <w:rPr>
          <w:sz w:val="26"/>
          <w:szCs w:val="26"/>
        </w:rPr>
        <w:t xml:space="preserve">В соответствии с </w:t>
      </w:r>
      <w:hyperlink r:id="rId7">
        <w:r>
          <w:rPr>
            <w:rStyle w:val="InternetLink"/>
            <w:rFonts w:eastAsia="Calibri"/>
            <w:color w:val="000000"/>
            <w:sz w:val="26"/>
            <w:szCs w:val="26"/>
            <w:u w:val="none"/>
          </w:rPr>
          <w:t>перечнем</w:t>
        </w:r>
      </w:hyperlink>
      <w:r>
        <w:rPr>
          <w:sz w:val="26"/>
          <w:szCs w:val="26"/>
        </w:rPr>
        <w:t xml:space="preserve"> муниципальных программ </w:t>
      </w:r>
      <w:r>
        <w:rPr>
          <w:rFonts w:ascii="Times New Roman CYR" w:hAnsi="Times New Roman CYR" w:cs="Times New Roman CYR"/>
          <w:sz w:val="26"/>
          <w:szCs w:val="26"/>
        </w:rPr>
        <w:t>городского поселения «Город Медынь»</w:t>
      </w:r>
      <w:r>
        <w:rPr>
          <w:sz w:val="26"/>
          <w:szCs w:val="26"/>
        </w:rPr>
        <w:t>,</w:t>
      </w:r>
      <w:r>
        <w:t xml:space="preserve"> </w:t>
      </w:r>
      <w:r>
        <w:rPr>
          <w:sz w:val="26"/>
          <w:szCs w:val="26"/>
        </w:rPr>
        <w:t>утвержденным постановлением администрации муниципального района «Медын</w:t>
      </w:r>
      <w:r w:rsidR="00AA1336">
        <w:rPr>
          <w:sz w:val="26"/>
          <w:szCs w:val="26"/>
        </w:rPr>
        <w:t>ский район» от 19.12.2016 № 13</w:t>
      </w:r>
      <w:r w:rsidR="004E0CA5">
        <w:rPr>
          <w:sz w:val="26"/>
          <w:szCs w:val="26"/>
        </w:rPr>
        <w:t>44</w:t>
      </w:r>
      <w:r>
        <w:rPr>
          <w:sz w:val="26"/>
          <w:szCs w:val="26"/>
        </w:rPr>
        <w:t xml:space="preserve"> </w:t>
      </w:r>
      <w:r>
        <w:rPr>
          <w:rFonts w:ascii="Calibri" w:hAnsi="Calibri" w:cs="Calibri"/>
        </w:rPr>
        <w:t>«</w:t>
      </w:r>
      <w:r>
        <w:rPr>
          <w:sz w:val="26"/>
          <w:szCs w:val="26"/>
        </w:rPr>
        <w:t xml:space="preserve">Об утверждении перечня муниципальных программ </w:t>
      </w:r>
      <w:r>
        <w:rPr>
          <w:rFonts w:ascii="Times New Roman CYR" w:hAnsi="Times New Roman CYR" w:cs="Times New Roman CYR"/>
          <w:sz w:val="26"/>
          <w:szCs w:val="26"/>
        </w:rPr>
        <w:t>городского поселения «Город Медынь»</w:t>
      </w:r>
      <w:r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>администрация муниципального района «Медынский район»</w:t>
      </w:r>
    </w:p>
    <w:p w:rsidR="008307C2" w:rsidRDefault="008307C2">
      <w:pPr>
        <w:pStyle w:val="ConsPlusTitle"/>
        <w:widowControl/>
        <w:ind w:firstLine="540"/>
        <w:jc w:val="both"/>
        <w:rPr>
          <w:b w:val="0"/>
          <w:sz w:val="26"/>
          <w:szCs w:val="26"/>
        </w:rPr>
      </w:pPr>
    </w:p>
    <w:p w:rsidR="008307C2" w:rsidRDefault="00F1383A">
      <w:pPr>
        <w:autoSpaceDE w:val="0"/>
        <w:ind w:firstLine="540"/>
        <w:jc w:val="center"/>
      </w:pPr>
      <w:r>
        <w:rPr>
          <w:b/>
        </w:rPr>
        <w:t>ПОСТАНОВЛЯЕТ:</w:t>
      </w:r>
    </w:p>
    <w:p w:rsidR="008307C2" w:rsidRDefault="008307C2">
      <w:pPr>
        <w:autoSpaceDE w:val="0"/>
        <w:ind w:firstLine="540"/>
        <w:jc w:val="both"/>
        <w:rPr>
          <w:b/>
        </w:rPr>
      </w:pPr>
    </w:p>
    <w:p w:rsidR="008307C2" w:rsidRDefault="00F1383A">
      <w:pPr>
        <w:autoSpaceDE w:val="0"/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 Утвердить муниципальную программу </w:t>
      </w:r>
      <w:r>
        <w:rPr>
          <w:rFonts w:ascii="Times New Roman CYR" w:hAnsi="Times New Roman CYR" w:cs="Times New Roman CYR"/>
          <w:sz w:val="26"/>
          <w:szCs w:val="26"/>
        </w:rPr>
        <w:t>городского поселения «Город Медынь</w:t>
      </w:r>
      <w:r>
        <w:rPr>
          <w:sz w:val="26"/>
          <w:szCs w:val="26"/>
        </w:rPr>
        <w:t>» «Энергосбережение и повышение энергоэффективности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  городском поселении «Город Медынь» (прилагается).</w:t>
      </w:r>
    </w:p>
    <w:p w:rsidR="008307C2" w:rsidRDefault="00F1383A">
      <w:pPr>
        <w:autoSpaceDE w:val="0"/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2. Разместить на официальном сайте </w:t>
      </w:r>
      <w:r>
        <w:rPr>
          <w:rFonts w:ascii="Times New Roman CYR" w:hAnsi="Times New Roman CYR" w:cs="Times New Roman CYR"/>
          <w:sz w:val="26"/>
          <w:szCs w:val="26"/>
        </w:rPr>
        <w:t>администрации муниципального района «Медынский район»</w:t>
      </w:r>
      <w:r>
        <w:rPr>
          <w:sz w:val="26"/>
          <w:szCs w:val="26"/>
        </w:rPr>
        <w:t xml:space="preserve"> муниципальную программу «Энергосбережение и повышение энергоэффективности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  городском поселении «Город Медынь».</w:t>
      </w:r>
    </w:p>
    <w:p w:rsidR="008307C2" w:rsidRDefault="008307C2">
      <w:pPr>
        <w:autoSpaceDE w:val="0"/>
        <w:ind w:firstLine="540"/>
        <w:jc w:val="both"/>
        <w:rPr>
          <w:b/>
          <w:sz w:val="26"/>
          <w:szCs w:val="26"/>
        </w:rPr>
      </w:pPr>
    </w:p>
    <w:p w:rsidR="008307C2" w:rsidRDefault="00F1383A">
      <w:pPr>
        <w:jc w:val="both"/>
      </w:pPr>
      <w:r>
        <w:t xml:space="preserve"> </w:t>
      </w:r>
    </w:p>
    <w:p w:rsidR="008307C2" w:rsidRDefault="008307C2">
      <w:pPr>
        <w:jc w:val="both"/>
      </w:pPr>
    </w:p>
    <w:p w:rsidR="008307C2" w:rsidRDefault="00C7386C">
      <w:pPr>
        <w:ind w:firstLine="54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И.о</w:t>
      </w:r>
      <w:proofErr w:type="spellEnd"/>
      <w:r>
        <w:rPr>
          <w:b/>
          <w:sz w:val="26"/>
          <w:szCs w:val="26"/>
        </w:rPr>
        <w:t>. Главы</w:t>
      </w:r>
      <w:r w:rsidR="00F1383A">
        <w:rPr>
          <w:b/>
          <w:sz w:val="26"/>
          <w:szCs w:val="26"/>
        </w:rPr>
        <w:t xml:space="preserve"> администрации</w:t>
      </w:r>
    </w:p>
    <w:p w:rsidR="008307C2" w:rsidRDefault="00F1383A">
      <w:pPr>
        <w:ind w:firstLine="540"/>
      </w:pPr>
      <w:r>
        <w:rPr>
          <w:b/>
          <w:sz w:val="26"/>
          <w:szCs w:val="26"/>
        </w:rPr>
        <w:t>муниципального района</w:t>
      </w:r>
    </w:p>
    <w:p w:rsidR="008307C2" w:rsidRDefault="00C7386C">
      <w:pPr>
        <w:ind w:firstLine="540"/>
      </w:pPr>
      <w:r>
        <w:rPr>
          <w:b/>
          <w:sz w:val="26"/>
          <w:szCs w:val="26"/>
        </w:rPr>
        <w:t>«Медынский район»</w:t>
      </w:r>
      <w:r w:rsidR="00F1383A">
        <w:rPr>
          <w:b/>
          <w:sz w:val="26"/>
          <w:szCs w:val="26"/>
        </w:rPr>
        <w:t xml:space="preserve">                                            </w:t>
      </w:r>
      <w:r w:rsidR="00592069">
        <w:rPr>
          <w:b/>
          <w:sz w:val="26"/>
          <w:szCs w:val="26"/>
        </w:rPr>
        <w:t xml:space="preserve">                         </w:t>
      </w:r>
      <w:r w:rsidR="00F1383A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О.В. </w:t>
      </w:r>
      <w:proofErr w:type="spellStart"/>
      <w:r>
        <w:rPr>
          <w:b/>
          <w:sz w:val="26"/>
          <w:szCs w:val="26"/>
        </w:rPr>
        <w:t>Курилюк</w:t>
      </w:r>
      <w:proofErr w:type="spellEnd"/>
    </w:p>
    <w:p w:rsidR="008307C2" w:rsidRDefault="008307C2">
      <w:pPr>
        <w:jc w:val="both"/>
        <w:rPr>
          <w:b/>
          <w:sz w:val="26"/>
          <w:szCs w:val="26"/>
        </w:rPr>
      </w:pPr>
    </w:p>
    <w:p w:rsidR="00C7386C" w:rsidRDefault="00C7386C">
      <w:pPr>
        <w:jc w:val="both"/>
        <w:rPr>
          <w:b/>
          <w:sz w:val="26"/>
          <w:szCs w:val="26"/>
        </w:rPr>
      </w:pPr>
    </w:p>
    <w:p w:rsidR="00C7386C" w:rsidRDefault="00C7386C">
      <w:pPr>
        <w:jc w:val="both"/>
        <w:rPr>
          <w:b/>
          <w:sz w:val="26"/>
          <w:szCs w:val="26"/>
        </w:rPr>
      </w:pPr>
    </w:p>
    <w:p w:rsidR="00C05838" w:rsidRDefault="00C05838">
      <w:pPr>
        <w:autoSpaceDE w:val="0"/>
        <w:jc w:val="right"/>
        <w:outlineLvl w:val="0"/>
        <w:rPr>
          <w:sz w:val="20"/>
          <w:szCs w:val="26"/>
        </w:rPr>
      </w:pPr>
    </w:p>
    <w:p w:rsidR="00C05838" w:rsidRDefault="00C05838">
      <w:pPr>
        <w:autoSpaceDE w:val="0"/>
        <w:jc w:val="right"/>
        <w:outlineLvl w:val="0"/>
        <w:rPr>
          <w:sz w:val="20"/>
          <w:szCs w:val="26"/>
        </w:rPr>
      </w:pPr>
    </w:p>
    <w:p w:rsidR="00C05838" w:rsidRDefault="00C05838">
      <w:pPr>
        <w:autoSpaceDE w:val="0"/>
        <w:jc w:val="right"/>
        <w:outlineLvl w:val="0"/>
        <w:rPr>
          <w:sz w:val="20"/>
          <w:szCs w:val="26"/>
        </w:rPr>
      </w:pPr>
    </w:p>
    <w:p w:rsidR="008307C2" w:rsidRDefault="00F1383A">
      <w:pPr>
        <w:autoSpaceDE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 </w:t>
      </w:r>
    </w:p>
    <w:p w:rsidR="008307C2" w:rsidRDefault="00F1383A">
      <w:pPr>
        <w:autoSpaceDE w:val="0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8307C2" w:rsidRDefault="00F1383A">
      <w:pPr>
        <w:autoSpaceDE w:val="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«Медынский район»</w:t>
      </w:r>
    </w:p>
    <w:p w:rsidR="008307C2" w:rsidRDefault="00F1383A">
      <w:pPr>
        <w:jc w:val="center"/>
        <w:rPr>
          <w:sz w:val="26"/>
          <w:szCs w:val="26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="00C7386C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от  </w:t>
      </w:r>
      <w:r w:rsidR="00C7386C">
        <w:rPr>
          <w:sz w:val="22"/>
          <w:szCs w:val="22"/>
        </w:rPr>
        <w:t>04</w:t>
      </w:r>
      <w:r>
        <w:rPr>
          <w:sz w:val="22"/>
          <w:szCs w:val="22"/>
        </w:rPr>
        <w:t>.</w:t>
      </w:r>
      <w:r w:rsidR="00C7386C">
        <w:rPr>
          <w:sz w:val="22"/>
          <w:szCs w:val="22"/>
        </w:rPr>
        <w:t>10</w:t>
      </w:r>
      <w:r>
        <w:rPr>
          <w:sz w:val="22"/>
          <w:szCs w:val="22"/>
        </w:rPr>
        <w:t>.20</w:t>
      </w:r>
      <w:r w:rsidR="00C7386C">
        <w:rPr>
          <w:sz w:val="22"/>
          <w:szCs w:val="22"/>
        </w:rPr>
        <w:t>22</w:t>
      </w:r>
      <w:r>
        <w:rPr>
          <w:sz w:val="22"/>
          <w:szCs w:val="22"/>
        </w:rPr>
        <w:t xml:space="preserve"> г.  № </w:t>
      </w:r>
      <w:r w:rsidR="00C05838">
        <w:rPr>
          <w:sz w:val="22"/>
          <w:szCs w:val="22"/>
        </w:rPr>
        <w:t>6</w:t>
      </w:r>
      <w:r w:rsidR="005E2C65">
        <w:rPr>
          <w:sz w:val="22"/>
          <w:szCs w:val="22"/>
        </w:rPr>
        <w:t>8</w:t>
      </w:r>
      <w:bookmarkStart w:id="0" w:name="_GoBack"/>
      <w:bookmarkEnd w:id="0"/>
      <w:r w:rsidR="00C05838">
        <w:rPr>
          <w:sz w:val="22"/>
          <w:szCs w:val="22"/>
        </w:rPr>
        <w:t>2</w:t>
      </w:r>
    </w:p>
    <w:p w:rsidR="008307C2" w:rsidRDefault="008307C2">
      <w:pPr>
        <w:rPr>
          <w:sz w:val="26"/>
          <w:szCs w:val="26"/>
          <w:u w:val="single"/>
        </w:rPr>
      </w:pPr>
    </w:p>
    <w:p w:rsidR="008307C2" w:rsidRDefault="008307C2">
      <w:pPr>
        <w:rPr>
          <w:sz w:val="26"/>
          <w:szCs w:val="26"/>
        </w:rPr>
      </w:pPr>
    </w:p>
    <w:p w:rsidR="008307C2" w:rsidRDefault="00F1383A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МУНИЦИПАЛЬНАЯ ПРОГРАММА</w:t>
      </w:r>
    </w:p>
    <w:p w:rsidR="008307C2" w:rsidRDefault="00F1383A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ПОСЕЛЕНИЯ «ГОРОД МЕДЫНЬ» </w:t>
      </w:r>
    </w:p>
    <w:p w:rsidR="008307C2" w:rsidRDefault="00F1383A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«ЭНЕРГОСБЕРЕЖЕНИЕ И ПОВЫШЕНИЕ ЭНЕРГОЭФФЕКТИВНОСТИ </w:t>
      </w:r>
    </w:p>
    <w:p w:rsidR="008307C2" w:rsidRDefault="00F1383A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ГОРОДСКОМ ПОСЕЛЕНИИ «ГОРОД МЕДЫНЬ»</w:t>
      </w:r>
    </w:p>
    <w:p w:rsidR="008307C2" w:rsidRDefault="008307C2">
      <w:pPr>
        <w:jc w:val="center"/>
        <w:rPr>
          <w:b/>
          <w:sz w:val="26"/>
          <w:szCs w:val="26"/>
        </w:rPr>
      </w:pPr>
    </w:p>
    <w:p w:rsidR="008307C2" w:rsidRDefault="00F1383A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</w:t>
      </w:r>
    </w:p>
    <w:p w:rsidR="008307C2" w:rsidRDefault="00F1383A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 городского поселения «Город Медынь»</w:t>
      </w:r>
    </w:p>
    <w:p w:rsidR="008307C2" w:rsidRDefault="00F1383A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«Энергосбережение и повышение энергоэффективности</w:t>
      </w:r>
    </w:p>
    <w:p w:rsidR="008307C2" w:rsidRDefault="00F1383A">
      <w:pPr>
        <w:autoSpaceDE w:val="0"/>
        <w:jc w:val="center"/>
        <w:rPr>
          <w:b/>
        </w:rPr>
      </w:pPr>
      <w:r>
        <w:rPr>
          <w:b/>
          <w:sz w:val="26"/>
          <w:szCs w:val="26"/>
        </w:rPr>
        <w:t xml:space="preserve"> в  городском  поселении «Город Медынь»</w:t>
      </w:r>
    </w:p>
    <w:p w:rsidR="008307C2" w:rsidRDefault="00F1383A">
      <w:pPr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(далее – муниципальная программа)</w:t>
      </w:r>
    </w:p>
    <w:p w:rsidR="008307C2" w:rsidRDefault="008307C2">
      <w:pPr>
        <w:autoSpaceDE w:val="0"/>
        <w:jc w:val="center"/>
        <w:rPr>
          <w:sz w:val="26"/>
          <w:szCs w:val="26"/>
        </w:rPr>
      </w:pPr>
    </w:p>
    <w:tbl>
      <w:tblPr>
        <w:tblW w:w="1022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154"/>
        <w:gridCol w:w="2114"/>
        <w:gridCol w:w="1039"/>
        <w:gridCol w:w="861"/>
        <w:gridCol w:w="753"/>
        <w:gridCol w:w="880"/>
        <w:gridCol w:w="812"/>
        <w:gridCol w:w="747"/>
        <w:gridCol w:w="860"/>
      </w:tblGrid>
      <w:tr w:rsidR="008307C2" w:rsidTr="009F6F49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pStyle w:val="a7"/>
              <w:tabs>
                <w:tab w:val="left" w:pos="426"/>
              </w:tabs>
              <w:autoSpaceDE w:val="0"/>
              <w:ind w:left="0"/>
            </w:pPr>
            <w:r>
              <w:rPr>
                <w:sz w:val="26"/>
                <w:szCs w:val="26"/>
              </w:rPr>
              <w:t>1. Ответственный исполнитель муниципальной программы</w:t>
            </w:r>
          </w:p>
        </w:tc>
        <w:tc>
          <w:tcPr>
            <w:tcW w:w="8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7C2" w:rsidRDefault="00F1383A" w:rsidP="00C7386C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</w:tr>
      <w:tr w:rsidR="008307C2" w:rsidTr="009F6F49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pStyle w:val="a7"/>
              <w:tabs>
                <w:tab w:val="left" w:pos="426"/>
              </w:tabs>
              <w:autoSpaceDE w:val="0"/>
              <w:ind w:left="0"/>
            </w:pPr>
            <w:r>
              <w:rPr>
                <w:sz w:val="26"/>
                <w:szCs w:val="26"/>
              </w:rPr>
              <w:t>2. Соисполнители муниципальной программы</w:t>
            </w:r>
          </w:p>
        </w:tc>
        <w:tc>
          <w:tcPr>
            <w:tcW w:w="8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7C2" w:rsidRDefault="00C7386C" w:rsidP="00C7386C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муниципальной программы</w:t>
            </w:r>
          </w:p>
        </w:tc>
      </w:tr>
      <w:tr w:rsidR="008307C2" w:rsidTr="009F6F49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pStyle w:val="a7"/>
              <w:tabs>
                <w:tab w:val="left" w:pos="426"/>
              </w:tabs>
              <w:autoSpaceDE w:val="0"/>
              <w:ind w:left="0"/>
            </w:pPr>
            <w:r>
              <w:rPr>
                <w:sz w:val="26"/>
                <w:szCs w:val="26"/>
              </w:rPr>
              <w:t>3. Цели муниципальной программы</w:t>
            </w:r>
          </w:p>
        </w:tc>
        <w:tc>
          <w:tcPr>
            <w:tcW w:w="8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</w:pPr>
            <w:r>
              <w:rPr>
                <w:rStyle w:val="StrongEmphasis"/>
                <w:b w:val="0"/>
                <w:sz w:val="26"/>
                <w:szCs w:val="26"/>
              </w:rPr>
              <w:t xml:space="preserve">Формирование целостной и эффективной системы управления энергосбережением и повышением энергоэффективности </w:t>
            </w:r>
          </w:p>
          <w:p w:rsidR="008307C2" w:rsidRDefault="008307C2">
            <w:pPr>
              <w:autoSpaceDE w:val="0"/>
              <w:rPr>
                <w:rStyle w:val="StrongEmphasis"/>
                <w:b w:val="0"/>
                <w:sz w:val="26"/>
                <w:szCs w:val="26"/>
              </w:rPr>
            </w:pPr>
          </w:p>
        </w:tc>
      </w:tr>
      <w:tr w:rsidR="008307C2" w:rsidTr="009F6F49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pStyle w:val="a7"/>
              <w:tabs>
                <w:tab w:val="left" w:pos="426"/>
              </w:tabs>
              <w:autoSpaceDE w:val="0"/>
              <w:ind w:left="0"/>
            </w:pPr>
            <w:r>
              <w:rPr>
                <w:sz w:val="26"/>
                <w:szCs w:val="26"/>
              </w:rPr>
              <w:t>4. Задачи муниципальной программы</w:t>
            </w:r>
          </w:p>
        </w:tc>
        <w:tc>
          <w:tcPr>
            <w:tcW w:w="8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7C2" w:rsidRDefault="00F1383A">
            <w:pPr>
              <w:pStyle w:val="a7"/>
              <w:autoSpaceDE w:val="0"/>
              <w:ind w:left="0"/>
              <w:jc w:val="both"/>
            </w:pPr>
            <w:r>
              <w:rPr>
                <w:sz w:val="26"/>
                <w:szCs w:val="26"/>
                <w:lang w:eastAsia="en-US"/>
              </w:rPr>
              <w:t>-повышение энергетической эффективности экономики  городского поселения «Город Медынь»;</w:t>
            </w:r>
          </w:p>
          <w:p w:rsidR="008307C2" w:rsidRDefault="00F1383A">
            <w:pPr>
              <w:pStyle w:val="a7"/>
              <w:autoSpaceDE w:val="0"/>
              <w:ind w:left="0"/>
              <w:jc w:val="both"/>
            </w:pPr>
            <w:r>
              <w:rPr>
                <w:sz w:val="26"/>
                <w:szCs w:val="26"/>
                <w:lang w:eastAsia="en-US"/>
              </w:rPr>
              <w:t>-развитие информационного обеспечения мероприятий по энергосбережению и повышению энергетической эффективности;</w:t>
            </w:r>
          </w:p>
          <w:p w:rsidR="008307C2" w:rsidRDefault="00F1383A">
            <w:pPr>
              <w:pStyle w:val="a7"/>
              <w:autoSpaceDE w:val="0"/>
              <w:ind w:left="0"/>
              <w:jc w:val="both"/>
            </w:pPr>
            <w:r>
              <w:rPr>
                <w:sz w:val="26"/>
                <w:szCs w:val="26"/>
                <w:lang w:eastAsia="en-US"/>
              </w:rPr>
              <w:t>-внедрение мер государственного регулирования и финансовых механизмов, стимулирующих энергосбережение и повышение энергетической эффективности;</w:t>
            </w:r>
          </w:p>
          <w:p w:rsidR="008307C2" w:rsidRDefault="00F1383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повышение объемов внедрения научных разработок и инновационных технологий для решения задач энергосбережения и повышения энергетической эффективности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307C2" w:rsidTr="009F6F49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pStyle w:val="a7"/>
              <w:tabs>
                <w:tab w:val="left" w:pos="426"/>
              </w:tabs>
              <w:autoSpaceDE w:val="0"/>
              <w:ind w:left="0"/>
            </w:pPr>
            <w:r>
              <w:rPr>
                <w:sz w:val="26"/>
                <w:szCs w:val="26"/>
              </w:rPr>
              <w:t>5. Подпрограммы муниципальной программы</w:t>
            </w:r>
          </w:p>
        </w:tc>
        <w:tc>
          <w:tcPr>
            <w:tcW w:w="8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7C2" w:rsidRDefault="00F1383A" w:rsidP="006032AD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предусматриваются</w:t>
            </w:r>
          </w:p>
        </w:tc>
      </w:tr>
      <w:tr w:rsidR="008307C2" w:rsidTr="009F6F49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pStyle w:val="a7"/>
              <w:tabs>
                <w:tab w:val="left" w:pos="426"/>
              </w:tabs>
              <w:autoSpaceDE w:val="0"/>
              <w:ind w:left="0"/>
            </w:pPr>
            <w:r>
              <w:rPr>
                <w:sz w:val="26"/>
                <w:szCs w:val="26"/>
              </w:rPr>
              <w:t>6. Индикаторы муниципальной программы</w:t>
            </w:r>
          </w:p>
        </w:tc>
        <w:tc>
          <w:tcPr>
            <w:tcW w:w="8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7C2" w:rsidRDefault="00F1383A">
            <w:pPr>
              <w:pStyle w:val="a7"/>
              <w:autoSpaceDE w:val="0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-снижение объемов потребления и уменьшение потерь при транспортировке тепловой энергии;</w:t>
            </w:r>
          </w:p>
          <w:p w:rsidR="008307C2" w:rsidRDefault="00F1383A">
            <w:pPr>
              <w:pStyle w:val="a7"/>
              <w:autoSpaceDE w:val="0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-снижение затрат потребителей на оплату за потребленные топливно-энергетические ресурсы;</w:t>
            </w:r>
          </w:p>
          <w:p w:rsidR="008307C2" w:rsidRDefault="00F1383A">
            <w:pPr>
              <w:pStyle w:val="a7"/>
              <w:autoSpaceDE w:val="0"/>
              <w:ind w:left="0"/>
              <w:jc w:val="both"/>
            </w:pPr>
            <w:r>
              <w:rPr>
                <w:sz w:val="26"/>
                <w:szCs w:val="26"/>
                <w:lang w:eastAsia="en-US"/>
              </w:rPr>
              <w:t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городского поселения «Город Медынь»;</w:t>
            </w:r>
          </w:p>
          <w:p w:rsidR="008307C2" w:rsidRDefault="00F1383A">
            <w:pPr>
              <w:pStyle w:val="a7"/>
              <w:autoSpaceDE w:val="0"/>
              <w:ind w:left="0"/>
              <w:jc w:val="both"/>
            </w:pPr>
            <w:r>
              <w:rPr>
                <w:sz w:val="26"/>
                <w:szCs w:val="26"/>
                <w:lang w:eastAsia="en-US"/>
              </w:rPr>
              <w:lastRenderedPageBreak/>
              <w:t>-доля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городского поселения «Город Медынь»;</w:t>
            </w:r>
          </w:p>
          <w:p w:rsidR="008307C2" w:rsidRDefault="00F1383A">
            <w:pPr>
              <w:pStyle w:val="a7"/>
              <w:autoSpaceDE w:val="0"/>
              <w:ind w:left="0"/>
              <w:jc w:val="both"/>
            </w:pPr>
            <w:r>
              <w:rPr>
                <w:sz w:val="26"/>
                <w:szCs w:val="26"/>
                <w:lang w:eastAsia="en-US"/>
              </w:rPr>
              <w:t>-доля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городского поселения «Город Медынь»;</w:t>
            </w:r>
          </w:p>
          <w:p w:rsidR="008307C2" w:rsidRDefault="00F1383A">
            <w:pPr>
              <w:pStyle w:val="a7"/>
              <w:autoSpaceDE w:val="0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городского поселения «Город Медынь»;</w:t>
            </w:r>
          </w:p>
          <w:p w:rsidR="008307C2" w:rsidRDefault="00F1383A">
            <w:pPr>
              <w:pStyle w:val="a7"/>
              <w:autoSpaceDE w:val="0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ГП;</w:t>
            </w:r>
          </w:p>
          <w:p w:rsidR="008307C2" w:rsidRDefault="00F1383A">
            <w:pPr>
              <w:pStyle w:val="a7"/>
              <w:autoSpaceDE w:val="0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8307C2" w:rsidTr="009F6F49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pStyle w:val="a7"/>
              <w:tabs>
                <w:tab w:val="left" w:pos="426"/>
              </w:tabs>
              <w:autoSpaceDE w:val="0"/>
              <w:ind w:left="0"/>
            </w:pPr>
            <w:r>
              <w:rPr>
                <w:sz w:val="26"/>
                <w:szCs w:val="26"/>
              </w:rPr>
              <w:lastRenderedPageBreak/>
              <w:t>7. Сроки и этапы реализации муниципальной программы</w:t>
            </w:r>
          </w:p>
        </w:tc>
        <w:tc>
          <w:tcPr>
            <w:tcW w:w="8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7C2" w:rsidRDefault="00F1383A" w:rsidP="006032AD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6032AD">
              <w:rPr>
                <w:sz w:val="26"/>
                <w:szCs w:val="26"/>
              </w:rPr>
              <w:t>23-2028</w:t>
            </w:r>
          </w:p>
        </w:tc>
      </w:tr>
      <w:tr w:rsidR="008307C2" w:rsidTr="009F6F49">
        <w:trPr>
          <w:trHeight w:val="315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pStyle w:val="a7"/>
              <w:tabs>
                <w:tab w:val="left" w:pos="426"/>
              </w:tabs>
              <w:autoSpaceDE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Объемы финансирования муниципальной программы за счет всех источников финансирования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4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ind w:right="-2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</w:t>
            </w:r>
          </w:p>
        </w:tc>
      </w:tr>
      <w:tr w:rsidR="008307C2" w:rsidTr="009F6F49">
        <w:trPr>
          <w:trHeight w:val="270"/>
        </w:trPr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8307C2">
            <w:pPr>
              <w:pStyle w:val="a7"/>
              <w:tabs>
                <w:tab w:val="left" w:pos="426"/>
              </w:tabs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8307C2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8307C2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 w:rsidP="006032AD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032AD">
              <w:rPr>
                <w:sz w:val="22"/>
                <w:szCs w:val="22"/>
              </w:rPr>
              <w:t>23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 w:rsidP="006032AD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032AD">
              <w:rPr>
                <w:sz w:val="22"/>
                <w:szCs w:val="22"/>
              </w:rPr>
              <w:t>24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 w:rsidP="006032AD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032AD">
              <w:rPr>
                <w:sz w:val="22"/>
                <w:szCs w:val="22"/>
              </w:rPr>
              <w:t>25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 w:rsidP="006032AD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6032AD">
              <w:rPr>
                <w:sz w:val="22"/>
                <w:szCs w:val="22"/>
              </w:rPr>
              <w:t>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 w:rsidP="006032AD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6032AD">
              <w:rPr>
                <w:sz w:val="22"/>
                <w:szCs w:val="22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7C2" w:rsidRDefault="00F1383A" w:rsidP="006032AD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6032AD">
              <w:rPr>
                <w:sz w:val="22"/>
                <w:szCs w:val="22"/>
              </w:rPr>
              <w:t>8</w:t>
            </w:r>
          </w:p>
        </w:tc>
      </w:tr>
      <w:tr w:rsidR="00811D2B" w:rsidTr="009F6F49">
        <w:trPr>
          <w:trHeight w:val="270"/>
        </w:trPr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D2B" w:rsidRDefault="00811D2B">
            <w:pPr>
              <w:pStyle w:val="a7"/>
              <w:tabs>
                <w:tab w:val="left" w:pos="426"/>
              </w:tabs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D2B" w:rsidRDefault="00811D2B">
            <w:pPr>
              <w:autoSpaceDE w:val="0"/>
            </w:pPr>
            <w:r>
              <w:t>ВСЕГО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B51642" w:rsidRDefault="003F5DF0" w:rsidP="004E5196">
            <w:pPr>
              <w:autoSpaceDE w:val="0"/>
              <w:jc w:val="center"/>
              <w:rPr>
                <w:sz w:val="20"/>
                <w:szCs w:val="20"/>
              </w:rPr>
            </w:pPr>
            <w:r w:rsidRPr="003F5DF0">
              <w:rPr>
                <w:sz w:val="20"/>
                <w:szCs w:val="20"/>
              </w:rPr>
              <w:t>67200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B51642" w:rsidRDefault="003F5DF0" w:rsidP="004E5196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3F5DF0">
              <w:rPr>
                <w:bCs/>
                <w:sz w:val="20"/>
                <w:szCs w:val="20"/>
              </w:rPr>
              <w:t>11200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B51642" w:rsidRDefault="003F5DF0" w:rsidP="004E5196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3F5DF0">
              <w:rPr>
                <w:bCs/>
                <w:sz w:val="20"/>
                <w:szCs w:val="20"/>
              </w:rPr>
              <w:t>11200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B51642" w:rsidRDefault="003F5DF0" w:rsidP="004E5196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3F5DF0">
              <w:rPr>
                <w:bCs/>
                <w:sz w:val="20"/>
                <w:szCs w:val="20"/>
              </w:rPr>
              <w:t>11200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B51642" w:rsidRDefault="003F5DF0" w:rsidP="004E5196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3F5DF0">
              <w:rPr>
                <w:bCs/>
                <w:sz w:val="20"/>
                <w:szCs w:val="20"/>
              </w:rPr>
              <w:t>11200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B51642" w:rsidRDefault="003F5DF0" w:rsidP="004E5196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3F5DF0">
              <w:rPr>
                <w:bCs/>
                <w:sz w:val="20"/>
                <w:szCs w:val="20"/>
              </w:rPr>
              <w:t>11200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D2B" w:rsidRPr="00B51642" w:rsidRDefault="003F5DF0" w:rsidP="004E5196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3F5DF0">
              <w:rPr>
                <w:bCs/>
                <w:sz w:val="20"/>
                <w:szCs w:val="20"/>
              </w:rPr>
              <w:t>11200</w:t>
            </w:r>
          </w:p>
        </w:tc>
      </w:tr>
      <w:tr w:rsidR="008307C2" w:rsidTr="009F6F49">
        <w:trPr>
          <w:trHeight w:val="330"/>
        </w:trPr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8307C2">
            <w:pPr>
              <w:pStyle w:val="a7"/>
              <w:tabs>
                <w:tab w:val="left" w:pos="426"/>
              </w:tabs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</w:pPr>
            <w:r>
              <w:t>в том числе по источникам финансирования: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8307C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8307C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8307C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8307C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8307C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8307C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7C2" w:rsidRDefault="008307C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1D2B" w:rsidTr="009F6F49">
        <w:trPr>
          <w:trHeight w:val="901"/>
        </w:trPr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D2B" w:rsidRDefault="00811D2B">
            <w:pPr>
              <w:pStyle w:val="a7"/>
              <w:tabs>
                <w:tab w:val="left" w:pos="426"/>
              </w:tabs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D2B" w:rsidRDefault="00811D2B">
            <w:pPr>
              <w:autoSpaceDE w:val="0"/>
            </w:pPr>
            <w:r>
              <w:t>средства  бюджета ГП «Город Медынь»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B51642" w:rsidRDefault="003F5DF0" w:rsidP="004E5196">
            <w:pPr>
              <w:autoSpaceDE w:val="0"/>
              <w:jc w:val="center"/>
              <w:rPr>
                <w:sz w:val="20"/>
                <w:szCs w:val="20"/>
              </w:rPr>
            </w:pPr>
            <w:r w:rsidRPr="003F5DF0">
              <w:rPr>
                <w:sz w:val="20"/>
                <w:szCs w:val="20"/>
              </w:rPr>
              <w:t>67200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B51642" w:rsidRDefault="003F5DF0" w:rsidP="004E5196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B51642" w:rsidRDefault="003F5DF0" w:rsidP="003F5DF0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3F5DF0">
              <w:rPr>
                <w:bCs/>
                <w:sz w:val="20"/>
                <w:szCs w:val="20"/>
              </w:rPr>
              <w:t>1200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B51642" w:rsidRDefault="003F5DF0" w:rsidP="004E5196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3F5DF0">
              <w:rPr>
                <w:bCs/>
                <w:sz w:val="20"/>
                <w:szCs w:val="20"/>
              </w:rPr>
              <w:t>11200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B51642" w:rsidRDefault="003F5DF0" w:rsidP="004E5196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3F5DF0">
              <w:rPr>
                <w:bCs/>
                <w:sz w:val="20"/>
                <w:szCs w:val="20"/>
              </w:rPr>
              <w:t>11200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B51642" w:rsidRDefault="003F5DF0" w:rsidP="004E5196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3F5DF0">
              <w:rPr>
                <w:bCs/>
                <w:sz w:val="20"/>
                <w:szCs w:val="20"/>
              </w:rPr>
              <w:t>11200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D2B" w:rsidRPr="00B51642" w:rsidRDefault="003F5DF0" w:rsidP="004E5196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3F5DF0">
              <w:rPr>
                <w:bCs/>
                <w:sz w:val="20"/>
                <w:szCs w:val="20"/>
              </w:rPr>
              <w:t>11200</w:t>
            </w:r>
          </w:p>
        </w:tc>
      </w:tr>
      <w:tr w:rsidR="008307C2" w:rsidTr="009F6F49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pStyle w:val="a7"/>
              <w:tabs>
                <w:tab w:val="left" w:pos="426"/>
              </w:tabs>
              <w:autoSpaceDE w:val="0"/>
              <w:ind w:left="0"/>
            </w:pPr>
            <w:r>
              <w:rPr>
                <w:sz w:val="26"/>
                <w:szCs w:val="26"/>
              </w:rPr>
              <w:t>9. Ожидаемые результаты реализации муниципальной программы</w:t>
            </w:r>
          </w:p>
        </w:tc>
        <w:tc>
          <w:tcPr>
            <w:tcW w:w="8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7C2" w:rsidRDefault="00F1383A">
            <w:pPr>
              <w:pStyle w:val="a7"/>
              <w:autoSpaceDE w:val="0"/>
              <w:ind w:left="0"/>
              <w:jc w:val="both"/>
            </w:pPr>
            <w:r>
              <w:rPr>
                <w:sz w:val="26"/>
                <w:szCs w:val="26"/>
                <w:lang w:eastAsia="en-US"/>
              </w:rPr>
              <w:t>-ежегодное снижение не менее чем на 3% объемов энергопотребления жилищно-коммунальным хозяйством и организациями бюджетной сферы городского поселения «Город Медынь»;</w:t>
            </w:r>
          </w:p>
          <w:p w:rsidR="008307C2" w:rsidRDefault="00F1383A">
            <w:pPr>
              <w:pStyle w:val="a7"/>
              <w:autoSpaceDE w:val="0"/>
              <w:ind w:left="0"/>
              <w:jc w:val="both"/>
            </w:pPr>
            <w:r>
              <w:rPr>
                <w:sz w:val="26"/>
                <w:szCs w:val="26"/>
                <w:lang w:eastAsia="en-US"/>
              </w:rPr>
              <w:t>-повышение эффективности использования энергетических ресурсов потребителями городского поселения «Город Медынь», включая жилищный фонд и системы коммунальной инфраструктуры, в том числе за счет сокращения потерь энергетических ресурсов при их производстве, передаче и конечном использовании;</w:t>
            </w:r>
          </w:p>
          <w:p w:rsidR="008307C2" w:rsidRDefault="00F1383A">
            <w:pPr>
              <w:pStyle w:val="a7"/>
              <w:autoSpaceDE w:val="0"/>
              <w:ind w:left="0"/>
              <w:jc w:val="both"/>
            </w:pPr>
            <w:r>
              <w:rPr>
                <w:sz w:val="26"/>
                <w:szCs w:val="26"/>
                <w:lang w:eastAsia="en-US"/>
              </w:rPr>
              <w:t>-обеспечение надежного функционирования и  динамичного развития всех отраслей экономики городского поселения «Город Медынь», позволяющего сформировать безопасную, благоустроенную и стимулирующую среду жизнедеятельности с минимальными затратами энергии и ресурсов;</w:t>
            </w:r>
          </w:p>
          <w:p w:rsidR="008307C2" w:rsidRDefault="00F1383A">
            <w:pPr>
              <w:pStyle w:val="a7"/>
              <w:autoSpaceDE w:val="0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-повышение качества жизни населения и снижение затрат на оплату жилищно-коммунальных услуг на основе применения новейших инновационных технологий в сфере </w:t>
            </w:r>
            <w:proofErr w:type="spellStart"/>
            <w:r>
              <w:rPr>
                <w:sz w:val="26"/>
                <w:szCs w:val="26"/>
                <w:lang w:eastAsia="en-US"/>
              </w:rPr>
              <w:t>энергоресурсосбережения</w:t>
            </w:r>
            <w:proofErr w:type="spellEnd"/>
            <w:r>
              <w:rPr>
                <w:sz w:val="26"/>
                <w:szCs w:val="26"/>
                <w:lang w:eastAsia="en-US"/>
              </w:rPr>
              <w:t>;</w:t>
            </w:r>
          </w:p>
          <w:p w:rsidR="008307C2" w:rsidRDefault="00F1383A">
            <w:pPr>
              <w:pStyle w:val="a7"/>
              <w:autoSpaceDE w:val="0"/>
              <w:ind w:left="0"/>
              <w:jc w:val="both"/>
            </w:pPr>
            <w:r>
              <w:rPr>
                <w:sz w:val="26"/>
                <w:szCs w:val="26"/>
                <w:lang w:eastAsia="en-US"/>
              </w:rPr>
              <w:t>-повышение финансовой устойчивости экономики городского поселения «Город Медынь» за счет компенсации роста нагрузки на бюджет путем снижения удельных расходов энергии и ресурсов;</w:t>
            </w:r>
          </w:p>
          <w:p w:rsidR="008307C2" w:rsidRDefault="00F1383A">
            <w:pPr>
              <w:pStyle w:val="a7"/>
              <w:autoSpaceDE w:val="0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-повышение экологической эффективности и безопасности на основе рационального и экологически ответственного использования </w:t>
            </w:r>
            <w:r>
              <w:rPr>
                <w:sz w:val="26"/>
                <w:szCs w:val="26"/>
                <w:lang w:eastAsia="en-US"/>
              </w:rPr>
              <w:lastRenderedPageBreak/>
              <w:t>энергии и ресурсов, способствующих обеспечению права граждан на благоприятную окружающую среду.</w:t>
            </w:r>
          </w:p>
        </w:tc>
      </w:tr>
    </w:tbl>
    <w:p w:rsidR="008307C2" w:rsidRDefault="00F1383A">
      <w:r>
        <w:lastRenderedPageBreak/>
        <w:br w:type="page"/>
      </w:r>
    </w:p>
    <w:p w:rsidR="008307C2" w:rsidRDefault="00F1383A">
      <w:pPr>
        <w:pStyle w:val="a7"/>
        <w:numPr>
          <w:ilvl w:val="1"/>
          <w:numId w:val="2"/>
        </w:numPr>
        <w:tabs>
          <w:tab w:val="left" w:pos="284"/>
        </w:tabs>
        <w:autoSpaceDE w:val="0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Общая характеристика сферы реализации муниципальной  программы</w:t>
      </w:r>
    </w:p>
    <w:p w:rsidR="008307C2" w:rsidRDefault="008307C2">
      <w:pPr>
        <w:pStyle w:val="a7"/>
        <w:tabs>
          <w:tab w:val="left" w:pos="567"/>
        </w:tabs>
        <w:autoSpaceDE w:val="0"/>
        <w:ind w:left="0"/>
        <w:jc w:val="both"/>
        <w:rPr>
          <w:b/>
          <w:sz w:val="26"/>
          <w:szCs w:val="26"/>
        </w:rPr>
      </w:pPr>
    </w:p>
    <w:p w:rsidR="008307C2" w:rsidRDefault="00F1383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В настоящее время износ инженерной инфраструктуры городского поселения «Город Медынь» в зависимости от вида инженерных сетей составляет: на водопроводных сетях-7</w:t>
      </w:r>
      <w:r w:rsidR="009F6F4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.4%, на канализационных сетях- </w:t>
      </w:r>
      <w:r w:rsidR="009F6F49">
        <w:rPr>
          <w:rFonts w:ascii="Times New Roman" w:hAnsi="Times New Roman" w:cs="Times New Roman"/>
          <w:sz w:val="26"/>
          <w:szCs w:val="26"/>
        </w:rPr>
        <w:t>59,5</w:t>
      </w:r>
      <w:r>
        <w:rPr>
          <w:rFonts w:ascii="Times New Roman" w:hAnsi="Times New Roman" w:cs="Times New Roman"/>
          <w:sz w:val="26"/>
          <w:szCs w:val="26"/>
        </w:rPr>
        <w:t xml:space="preserve"> %, на сетях газоснабжения и газораспределения-</w:t>
      </w:r>
      <w:r w:rsidR="009F6F49">
        <w:rPr>
          <w:rFonts w:ascii="Times New Roman" w:hAnsi="Times New Roman" w:cs="Times New Roman"/>
          <w:sz w:val="26"/>
          <w:szCs w:val="26"/>
        </w:rPr>
        <w:t>14,8</w:t>
      </w:r>
      <w:r>
        <w:rPr>
          <w:rFonts w:ascii="Times New Roman" w:hAnsi="Times New Roman" w:cs="Times New Roman"/>
          <w:sz w:val="26"/>
          <w:szCs w:val="26"/>
        </w:rPr>
        <w:t xml:space="preserve">  %, на электрических сетях- 5</w:t>
      </w:r>
      <w:r w:rsidR="009F6F4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,5 %.</w:t>
      </w:r>
    </w:p>
    <w:p w:rsidR="008307C2" w:rsidRDefault="00F1383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Около четверти основных фондов полностью отслужили свой срок. Потери, связанные с утечками из-за внутренней и внешней коррозии трубопроводов, составляют  10 %. Планово-предупредительный ремонт сетей и оборудования систем водоснабжения в ряде случаев полностью уступил место капитальному ремонту сетей, единичные затраты на проведение которых в 2,5-3  раза выше, чем затраты на плановый ремонт таких же объектов. Это все не только ведет к накапливанию "не до ремонта" и падению надежности, но и является фактором высоких тарифов на энергоресурсы, снижает конкурентоспособность продукции и услуг организаций, увеличивает их себестоимость.</w:t>
      </w:r>
    </w:p>
    <w:p w:rsidR="008307C2" w:rsidRDefault="00F1383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Комплексное решение проблем, связанных с эффективным использованием топливно-энергетических ресурсов на территории муниципального района, является одной из приоритетных задач экономического развития хозяйственного комплекса муниципального образования. Рост тарифов на тепловую и электрическую энергию, цен на газ и опережающий уровень инфляции приводят к снижению конкурентоспособности товаропроизводителей, повышению расходов местного бюджета на энергообеспечение жилых домов, учреждений социальной сферы, увеличению коммунальных платежей. Все эти негативные последствия обусловливают объективную необходимость экономии топливно-энергетических ресурсов на территории муниципального района и актуальность проведения целенаправленной политики энергосбережения.</w:t>
      </w:r>
    </w:p>
    <w:p w:rsidR="008307C2" w:rsidRDefault="00F1383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Особенно актуальна задача энергосбережения в социальной и жилищно-коммунальной сфере городского поселения «Город Медынь». Именно в этих сферах расходуется большая часть бюджетных средств. Деятельность жилищно-коммунального хозяйства  городского поселения сопровождается значительными потерями энергетических ресурсов при их производстве, транспортировке и потреблении.</w:t>
      </w:r>
    </w:p>
    <w:p w:rsidR="008307C2" w:rsidRDefault="00F1383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С целью переориентации расходов местных бюджетов на нужды энергосбережения в сфере ЖКХ необходимо в ходе мероприятий по строительству, капитальному ремонту, реконструкции, модернизации и подготовительных работ к осенне-зимнему периоду максимально использовать энергосберегающие технологии, оборудование и материалы.     Основными объектами коммунальной инфраструктуры городского поселения, существенным образом влияющими на эффективность использования топливно-энергетических ресурсов, являются котельные и тепловые сети. При этом наибольшие резервы экономии энергоресурсов сосредоточены в процессе обеспечения потребителей теплом.</w:t>
      </w:r>
    </w:p>
    <w:p w:rsidR="008307C2" w:rsidRDefault="00F13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городском поселении «Город Медынь»  отопление жилых домов и объектов бюджетной сферы обеспечивает </w:t>
      </w:r>
      <w:r w:rsidR="009D0BE2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котельных, из которых </w:t>
      </w:r>
      <w:r w:rsidR="009D0BE2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находятся в муниципальной собственности. При этом </w:t>
      </w:r>
      <w:r w:rsidR="009D0BE2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 котельных  работают на газовом топливе (природный газ).</w:t>
      </w:r>
    </w:p>
    <w:p w:rsidR="008307C2" w:rsidRDefault="00F13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Состояние жилищно-коммунальной сферы городского поселения в настоящее время характеризуется высокой степенью износа основных фондов ЖКХ. Основная проблема - ветхость объектов инженерной инфраструктуры, особенно сетей, которая растет опережающими темпами по сравнению с капиталовложениями в их ремонт.</w:t>
      </w:r>
    </w:p>
    <w:p w:rsidR="008307C2" w:rsidRDefault="00F1383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В практику теплоснабжающих организаций необходимо ввести анализ состояния тепловых сетей не только по показателю отношения потерь тепловой энергии к отпуску, но и по показателю отношения фактических потерь к нормативным потерям.</w:t>
      </w:r>
    </w:p>
    <w:p w:rsidR="008307C2" w:rsidRDefault="00F1383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настоящее время в городском поселении реализуются мероприятия, предусматривающие  установку приборов учета топливно-энергетических ресурсов в многоквартирных домах и бюджетных учреждениях. </w:t>
      </w:r>
    </w:p>
    <w:p w:rsidR="008307C2" w:rsidRDefault="00F1383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При капитальных ремонтах жилых домов требуется присвоение класса энергоэффективности многоквартирных домов в зависимости от уровня энергоэффективности, выявление многоквартирных домов, требующих реализации первоочередных мер по повышению энергоэффективности, максимальное использование комплекса технических мер по повышению эффективности потребления топливно-энергетических ресурсов (далее - ТЭР).</w:t>
      </w:r>
    </w:p>
    <w:p w:rsidR="008307C2" w:rsidRDefault="00F1383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Огромную роль в экономии энергоресурсов играет человеческий фактор. Укоренение у людей привычки к минимизации использования энергии или поведенческое энергосбережение, которое подразумевает обеспечение потребностей при меньшем потреблении энергоресурсов, достигается информационной поддержкой, методами пропаганды, обучением энергосбережению. Активная пропаганда энергосбережения позволяет добиться сокращения </w:t>
      </w:r>
      <w:r w:rsidR="009F6F49">
        <w:rPr>
          <w:rFonts w:ascii="Times New Roman" w:hAnsi="Times New Roman" w:cs="Times New Roman"/>
          <w:sz w:val="26"/>
          <w:szCs w:val="26"/>
        </w:rPr>
        <w:t xml:space="preserve">потребления энергоресурсов до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9F6F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процентов.</w:t>
      </w:r>
    </w:p>
    <w:p w:rsidR="008307C2" w:rsidRDefault="00F13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Крайне важно сделать энергосбережение выгодным бизнесом как для организаций, профессионально занимающихся энергосбережением, так и для инвесторов, внедрить организационно-правовые и финансовые механизмы перевода жилищно-коммунальной и бюджетной сфер деятельности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энергоэффективный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путь развития. С другой стороны, энергосбережение должно быть превращено для потребителей энергоресурсов в доступный способ снижения расходов, укоренение у людей привычки к минимизации использования энергии, что достигается информационной поддержкой, методами пропаганды, обучением энергосбережению.</w:t>
      </w:r>
    </w:p>
    <w:p w:rsidR="008307C2" w:rsidRDefault="00F13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счет квалифицированного построения правовых норм и организационных механизмов необходимо обеспечить активное участие собственников многоквартирных домов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энергоэффективном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управлении жилой недвижимостью. Предусматривается создание механизмов мотивации управляющих компаний в повышении комфортности проживания и эффективности использования поставляемых коммунальных ресурсов и выведение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энергосервисных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компаний на рынок оказания коммунальных услуг.</w:t>
      </w:r>
    </w:p>
    <w:p w:rsidR="008307C2" w:rsidRDefault="00F1383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Решение проблем экономии топливно-энергетических ресурсов на территории городского поселения возможно только в комплексе и требует взаимодействия между органами местного самоуправления и организациями городского поселения, направленное на осуществление энергосберегающих мероприятий.</w:t>
      </w:r>
    </w:p>
    <w:p w:rsidR="008307C2" w:rsidRDefault="00F1383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Программа необходима для организации и реализации энергосберегающей политики при одновременном решении проблемы рационального использования топливно-энергетических ресурсов на территории городского поселения «Город Медынь» и создания условий для решения социальных проблем. Высвободившиеся за счет реализации энергосберегающих проектов средства будут направлены на создание более надежных условий обеспечения энергией объектов жилищно-коммунальной сферы городского поселения и решение социальных вопросов.</w:t>
      </w:r>
    </w:p>
    <w:p w:rsidR="008307C2" w:rsidRDefault="00F13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Исключительная важность реализации программы заключается в том, что конечные результаты ее выполнения равносильны вводу новых генерирующих мощностей. При этом финансовые затраты на ее реализацию значительно ниже, чем на строительство новых энергоустановок мощностью, эквивалентной мощности, высвободившейся в результате внедрения энергосберегающих мероприятий.</w:t>
      </w:r>
    </w:p>
    <w:p w:rsidR="008307C2" w:rsidRDefault="00F13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выполнения указанных выше мероприятий  необходимо определить конкретные цели и решить основные задачи.</w:t>
      </w:r>
    </w:p>
    <w:p w:rsidR="008307C2" w:rsidRDefault="008307C2">
      <w:pPr>
        <w:pStyle w:val="a7"/>
        <w:tabs>
          <w:tab w:val="left" w:pos="567"/>
        </w:tabs>
        <w:autoSpaceDE w:val="0"/>
        <w:ind w:left="0"/>
        <w:jc w:val="both"/>
        <w:rPr>
          <w:sz w:val="26"/>
          <w:szCs w:val="26"/>
        </w:rPr>
      </w:pPr>
    </w:p>
    <w:p w:rsidR="008307C2" w:rsidRDefault="00F1383A">
      <w:pPr>
        <w:pStyle w:val="a7"/>
        <w:numPr>
          <w:ilvl w:val="1"/>
          <w:numId w:val="2"/>
        </w:numPr>
        <w:tabs>
          <w:tab w:val="left" w:pos="284"/>
        </w:tabs>
        <w:autoSpaceDE w:val="0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Цели, задачи и индикаторы достижения целей и решения задач муниципальной программы, основные ожидаемые конечные результаты муниципальной программы, сроки и этапы реализации муниципальной программы</w:t>
      </w:r>
    </w:p>
    <w:p w:rsidR="008307C2" w:rsidRDefault="008307C2">
      <w:pPr>
        <w:pStyle w:val="a7"/>
        <w:tabs>
          <w:tab w:val="left" w:pos="567"/>
        </w:tabs>
        <w:autoSpaceDE w:val="0"/>
        <w:ind w:left="0"/>
        <w:jc w:val="both"/>
        <w:rPr>
          <w:b/>
          <w:sz w:val="26"/>
          <w:szCs w:val="26"/>
        </w:rPr>
      </w:pPr>
    </w:p>
    <w:p w:rsidR="008307C2" w:rsidRDefault="00F1383A">
      <w:pPr>
        <w:pStyle w:val="a7"/>
        <w:tabs>
          <w:tab w:val="left" w:pos="567"/>
        </w:tabs>
        <w:autoSpaceDE w:val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2.1.  Цели, задачи и индикаторы достижения целей и решения задач муниципальной программы</w:t>
      </w:r>
    </w:p>
    <w:p w:rsidR="008307C2" w:rsidRDefault="008307C2">
      <w:pPr>
        <w:tabs>
          <w:tab w:val="left" w:pos="1418"/>
        </w:tabs>
        <w:autoSpaceDE w:val="0"/>
        <w:jc w:val="both"/>
        <w:rPr>
          <w:b/>
          <w:sz w:val="26"/>
          <w:szCs w:val="26"/>
        </w:rPr>
      </w:pPr>
    </w:p>
    <w:p w:rsidR="008307C2" w:rsidRDefault="00F1383A">
      <w:pPr>
        <w:autoSpaceDE w:val="0"/>
        <w:jc w:val="both"/>
      </w:pPr>
      <w:r>
        <w:rPr>
          <w:sz w:val="26"/>
          <w:szCs w:val="26"/>
        </w:rPr>
        <w:t xml:space="preserve">           Целью муниципальной программы городского поселения «Город Медынь»  «Энергосбережение и повышение энергоэффективности в городском поселении » на 20</w:t>
      </w:r>
      <w:r w:rsidR="009D0BE2">
        <w:rPr>
          <w:sz w:val="26"/>
          <w:szCs w:val="26"/>
        </w:rPr>
        <w:t>23-2028</w:t>
      </w:r>
      <w:r>
        <w:rPr>
          <w:sz w:val="26"/>
          <w:szCs w:val="26"/>
        </w:rPr>
        <w:t xml:space="preserve"> годы является  формирование целостной и эффективной системы управления энергосбережением и повышением энергетической эффективности.</w:t>
      </w:r>
    </w:p>
    <w:p w:rsidR="008307C2" w:rsidRDefault="00F1383A">
      <w:pPr>
        <w:tabs>
          <w:tab w:val="left" w:pos="0"/>
        </w:tabs>
        <w:autoSpaceDE w:val="0"/>
        <w:ind w:firstLine="720"/>
        <w:jc w:val="both"/>
      </w:pPr>
      <w:r>
        <w:rPr>
          <w:sz w:val="26"/>
          <w:szCs w:val="26"/>
        </w:rPr>
        <w:t>В ходе реализации муниципальной программы предусматривается обеспечить решение следующих задач:</w:t>
      </w:r>
    </w:p>
    <w:p w:rsidR="008307C2" w:rsidRDefault="00F1383A">
      <w:pPr>
        <w:pStyle w:val="a7"/>
        <w:autoSpaceDE w:val="0"/>
        <w:ind w:left="0"/>
        <w:jc w:val="both"/>
      </w:pPr>
      <w:r>
        <w:rPr>
          <w:rFonts w:eastAsia="Times New Roman"/>
          <w:sz w:val="26"/>
          <w:szCs w:val="26"/>
          <w:lang w:eastAsia="en-US"/>
        </w:rPr>
        <w:t xml:space="preserve">           </w:t>
      </w:r>
      <w:r>
        <w:rPr>
          <w:sz w:val="26"/>
          <w:szCs w:val="26"/>
          <w:lang w:eastAsia="en-US"/>
        </w:rPr>
        <w:t>-повышение энергетической эффективности экономики  городского поселения «Город Медынь»;</w:t>
      </w:r>
    </w:p>
    <w:p w:rsidR="008307C2" w:rsidRDefault="00F1383A">
      <w:pPr>
        <w:pStyle w:val="a7"/>
        <w:autoSpaceDE w:val="0"/>
        <w:ind w:left="0"/>
        <w:jc w:val="both"/>
      </w:pPr>
      <w:r>
        <w:rPr>
          <w:rFonts w:eastAsia="Times New Roman"/>
          <w:sz w:val="26"/>
          <w:szCs w:val="26"/>
          <w:lang w:eastAsia="en-US"/>
        </w:rPr>
        <w:t xml:space="preserve">           </w:t>
      </w:r>
      <w:r>
        <w:rPr>
          <w:sz w:val="26"/>
          <w:szCs w:val="26"/>
          <w:lang w:eastAsia="en-US"/>
        </w:rPr>
        <w:t>-развитие информационного обеспечения мероприятий по энергосбережению и повышению энергетической эффективности;</w:t>
      </w:r>
    </w:p>
    <w:p w:rsidR="008307C2" w:rsidRDefault="00F1383A">
      <w:pPr>
        <w:pStyle w:val="a7"/>
        <w:autoSpaceDE w:val="0"/>
        <w:ind w:left="0"/>
        <w:jc w:val="both"/>
      </w:pPr>
      <w:r>
        <w:rPr>
          <w:rFonts w:eastAsia="Times New Roman"/>
          <w:sz w:val="26"/>
          <w:szCs w:val="26"/>
          <w:lang w:eastAsia="en-US"/>
        </w:rPr>
        <w:t xml:space="preserve">          </w:t>
      </w:r>
      <w:r>
        <w:rPr>
          <w:sz w:val="26"/>
          <w:szCs w:val="26"/>
          <w:lang w:eastAsia="en-US"/>
        </w:rPr>
        <w:t>-внедрение мер государственного регулирования и финансовых механизмов, стимулирующих энергосбережение и повышение энергетической эффективности;</w:t>
      </w:r>
    </w:p>
    <w:p w:rsidR="008307C2" w:rsidRDefault="00F1383A">
      <w:pPr>
        <w:tabs>
          <w:tab w:val="left" w:pos="0"/>
        </w:tabs>
        <w:autoSpaceDE w:val="0"/>
        <w:ind w:firstLine="720"/>
        <w:jc w:val="both"/>
      </w:pPr>
      <w:r>
        <w:rPr>
          <w:rFonts w:eastAsia="Calibri"/>
          <w:sz w:val="26"/>
          <w:szCs w:val="26"/>
          <w:lang w:eastAsia="en-US"/>
        </w:rPr>
        <w:t>-повышение объемов внедрения научных разработок и инновационных технологий для решения задач энергосбережения и повышения энергетической эффективности.</w:t>
      </w:r>
    </w:p>
    <w:p w:rsidR="008307C2" w:rsidRDefault="00F1383A">
      <w:pPr>
        <w:tabs>
          <w:tab w:val="left" w:pos="0"/>
        </w:tabs>
        <w:autoSpaceDE w:val="0"/>
        <w:ind w:firstLine="720"/>
        <w:jc w:val="both"/>
      </w:pPr>
      <w:r>
        <w:rPr>
          <w:sz w:val="26"/>
          <w:szCs w:val="26"/>
        </w:rPr>
        <w:t xml:space="preserve"> Оценка результативности муниципальной программы будет ежегодно отслеживаться на основании целевых индикаторов и показателей. </w:t>
      </w:r>
    </w:p>
    <w:p w:rsidR="008307C2" w:rsidRDefault="00F1383A">
      <w:pPr>
        <w:tabs>
          <w:tab w:val="left" w:pos="0"/>
        </w:tabs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Состав целевых индикаторов и показателей муниципальной программы сформирован на основе показателей, рекомендованных постановлением Правительства Российской Федерации от 31.12.2009 № 1225 (ред. от 22.07.2013) «О требованиях   к региональным и муниципальным программам в области энергосбережения и повышения энергетической эффективности». </w:t>
      </w:r>
    </w:p>
    <w:p w:rsidR="008307C2" w:rsidRDefault="008307C2">
      <w:pPr>
        <w:tabs>
          <w:tab w:val="left" w:pos="2880"/>
        </w:tabs>
        <w:rPr>
          <w:sz w:val="26"/>
          <w:szCs w:val="26"/>
        </w:rPr>
      </w:pPr>
    </w:p>
    <w:p w:rsidR="008307C2" w:rsidRDefault="00F1383A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8307C2" w:rsidRDefault="00F1383A">
      <w:pPr>
        <w:autoSpaceDE w:val="0"/>
        <w:jc w:val="center"/>
      </w:pPr>
      <w:r>
        <w:rPr>
          <w:b/>
          <w:sz w:val="26"/>
          <w:szCs w:val="26"/>
        </w:rPr>
        <w:t>об индикаторах муниципальной программы  и их значениях</w:t>
      </w:r>
    </w:p>
    <w:p w:rsidR="008307C2" w:rsidRDefault="008307C2">
      <w:pPr>
        <w:autoSpaceDE w:val="0"/>
        <w:rPr>
          <w:b/>
          <w:sz w:val="26"/>
          <w:szCs w:val="26"/>
        </w:rPr>
      </w:pPr>
    </w:p>
    <w:tbl>
      <w:tblPr>
        <w:tblW w:w="1040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4"/>
        <w:gridCol w:w="4483"/>
        <w:gridCol w:w="543"/>
        <w:gridCol w:w="645"/>
        <w:gridCol w:w="830"/>
        <w:gridCol w:w="571"/>
        <w:gridCol w:w="520"/>
        <w:gridCol w:w="571"/>
        <w:gridCol w:w="571"/>
        <w:gridCol w:w="571"/>
        <w:gridCol w:w="631"/>
      </w:tblGrid>
      <w:tr w:rsidR="008307C2"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F1383A">
            <w:pPr>
              <w:autoSpaceDE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F1383A">
            <w:pPr>
              <w:autoSpaceDE w:val="0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индикатора </w:t>
            </w: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F1383A">
            <w:pPr>
              <w:autoSpaceDE w:val="0"/>
              <w:ind w:left="-216" w:right="-113" w:firstLine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8307C2" w:rsidRDefault="00F1383A">
            <w:pPr>
              <w:autoSpaceDE w:val="0"/>
              <w:ind w:left="-216" w:right="-113" w:firstLine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изм.</w:t>
            </w:r>
          </w:p>
        </w:tc>
        <w:tc>
          <w:tcPr>
            <w:tcW w:w="49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7C2" w:rsidRDefault="00F1383A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 по годам:</w:t>
            </w:r>
          </w:p>
        </w:tc>
      </w:tr>
      <w:tr w:rsidR="008307C2"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8307C2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8307C2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8307C2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F1383A">
            <w:pPr>
              <w:autoSpaceDE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D0BE2">
              <w:rPr>
                <w:sz w:val="20"/>
                <w:szCs w:val="20"/>
              </w:rPr>
              <w:t>21</w:t>
            </w:r>
          </w:p>
          <w:p w:rsidR="008307C2" w:rsidRDefault="00F1383A">
            <w:pPr>
              <w:autoSpaceDE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(факт)</w:t>
            </w:r>
          </w:p>
          <w:p w:rsidR="008307C2" w:rsidRDefault="008307C2">
            <w:pPr>
              <w:autoSpaceDE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F1383A">
            <w:pPr>
              <w:autoSpaceDE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D0BE2">
              <w:rPr>
                <w:sz w:val="20"/>
                <w:szCs w:val="20"/>
              </w:rPr>
              <w:t>22</w:t>
            </w:r>
          </w:p>
          <w:p w:rsidR="008307C2" w:rsidRDefault="00F1383A">
            <w:pPr>
              <w:autoSpaceDE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(оценка)</w:t>
            </w:r>
          </w:p>
          <w:p w:rsidR="008307C2" w:rsidRDefault="008307C2">
            <w:pPr>
              <w:autoSpaceDE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7C2" w:rsidRDefault="00F1383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 муниципальной программы</w:t>
            </w:r>
          </w:p>
        </w:tc>
      </w:tr>
      <w:tr w:rsidR="008307C2"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8307C2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8307C2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8307C2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8307C2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8307C2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F1383A" w:rsidP="009D0BE2">
            <w:pPr>
              <w:autoSpaceDE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D0BE2">
              <w:rPr>
                <w:sz w:val="20"/>
                <w:szCs w:val="20"/>
              </w:rPr>
              <w:t>23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F1383A" w:rsidP="009D0BE2">
            <w:pPr>
              <w:autoSpaceDE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D0BE2">
              <w:rPr>
                <w:sz w:val="20"/>
                <w:szCs w:val="20"/>
              </w:rPr>
              <w:t>24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F1383A" w:rsidP="009D0BE2">
            <w:pPr>
              <w:autoSpaceDE w:val="0"/>
              <w:ind w:left="-57" w:right="-57"/>
              <w:jc w:val="center"/>
            </w:pPr>
            <w:r>
              <w:rPr>
                <w:sz w:val="20"/>
                <w:szCs w:val="20"/>
              </w:rPr>
              <w:t>20</w:t>
            </w:r>
            <w:r w:rsidR="009D0BE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F1383A" w:rsidP="009D0BE2">
            <w:pPr>
              <w:autoSpaceDE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D0BE2">
              <w:rPr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F1383A" w:rsidP="009D0BE2">
            <w:pPr>
              <w:autoSpaceDE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D0BE2">
              <w:rPr>
                <w:sz w:val="20"/>
                <w:szCs w:val="20"/>
              </w:rPr>
              <w:t>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7C2" w:rsidRDefault="00F1383A" w:rsidP="009D0BE2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D0BE2">
              <w:rPr>
                <w:sz w:val="20"/>
                <w:szCs w:val="20"/>
              </w:rPr>
              <w:t>8</w:t>
            </w:r>
          </w:p>
        </w:tc>
      </w:tr>
      <w:tr w:rsidR="008307C2">
        <w:tc>
          <w:tcPr>
            <w:tcW w:w="104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center"/>
            </w:pPr>
            <w:r>
              <w:rPr>
                <w:b/>
                <w:sz w:val="26"/>
                <w:szCs w:val="26"/>
              </w:rPr>
              <w:t>«Энергосбережение и повышение энергоэффективности в МР «Медынский район»</w:t>
            </w:r>
          </w:p>
          <w:p w:rsidR="008307C2" w:rsidRDefault="00F1383A" w:rsidP="009D0BE2">
            <w:pPr>
              <w:autoSpaceDE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20</w:t>
            </w:r>
            <w:r w:rsidR="009D0BE2">
              <w:rPr>
                <w:b/>
                <w:sz w:val="26"/>
                <w:szCs w:val="26"/>
              </w:rPr>
              <w:t>23-2028</w:t>
            </w:r>
            <w:r>
              <w:rPr>
                <w:b/>
                <w:sz w:val="26"/>
                <w:szCs w:val="26"/>
              </w:rPr>
              <w:t xml:space="preserve"> годы</w:t>
            </w:r>
          </w:p>
        </w:tc>
      </w:tr>
      <w:tr w:rsidR="008307C2">
        <w:trPr>
          <w:trHeight w:val="627"/>
        </w:trPr>
        <w:tc>
          <w:tcPr>
            <w:tcW w:w="104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7C2" w:rsidRDefault="00F1383A">
            <w:pPr>
              <w:numPr>
                <w:ilvl w:val="0"/>
                <w:numId w:val="3"/>
              </w:numPr>
              <w:autoSpaceDE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2"/>
                <w:szCs w:val="22"/>
              </w:rPr>
              <w:t>ОБЩИЕ ПОКАЗАТЕЛИ В ОБЛАСТИ ЭНЕРГОСБЕРЕЖЕНИЯ И ПОВЫШЕНИЯ ЭНЕРГЕТИЧЕСКОЙ ЭФФЕКТИВНОСТИ</w:t>
            </w:r>
          </w:p>
        </w:tc>
      </w:tr>
      <w:tr w:rsidR="008307C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Снижение объемов потребления и уменьшение потерь при транспортировке тепловой энергии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Гкал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</w:t>
            </w:r>
          </w:p>
        </w:tc>
      </w:tr>
      <w:tr w:rsidR="008307C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Снижение затрат потребителей на оплату за </w:t>
            </w:r>
            <w:proofErr w:type="gramStart"/>
            <w:r>
              <w:rPr>
                <w:sz w:val="20"/>
                <w:szCs w:val="20"/>
              </w:rPr>
              <w:t>потребленные</w:t>
            </w:r>
            <w:proofErr w:type="gramEnd"/>
            <w:r>
              <w:rPr>
                <w:sz w:val="20"/>
                <w:szCs w:val="20"/>
              </w:rPr>
              <w:t xml:space="preserve"> ТЭР по городскому поселению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</w:pPr>
            <w:r>
              <w:rPr>
                <w:sz w:val="16"/>
                <w:szCs w:val="16"/>
              </w:rPr>
              <w:t>млн.</w:t>
            </w:r>
          </w:p>
          <w:p w:rsidR="008307C2" w:rsidRDefault="00F1383A">
            <w:pPr>
              <w:autoSpaceDE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2,22</w:t>
            </w:r>
          </w:p>
        </w:tc>
      </w:tr>
      <w:tr w:rsidR="008307C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Доля объемов тепловой энергии, расчеты за которую осуществляются с использованием приборов учета (в части МКД с использованием коллективных (общедомовых) приборов учета, в общем объеме ТЭ, потребляемой на территории МО</w:t>
            </w:r>
            <w:proofErr w:type="gramEnd"/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307C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объемов электрической энергии, расчеты за которую осуществляются с использованием приборов учета (в части многоквартирных домов с использованием коллективных (общедомовых) приборов учета), в общем объеме ЭЭ, потребляемой на территории МО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307C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объемов  холодной воды, расчеты за которую осуществляются с использованием </w:t>
            </w:r>
            <w:r>
              <w:rPr>
                <w:sz w:val="20"/>
                <w:szCs w:val="20"/>
              </w:rPr>
              <w:lastRenderedPageBreak/>
              <w:t xml:space="preserve">приборов учета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 части МКД с использованием коллективных (общедомовых) приборов учета,</w:t>
            </w:r>
          </w:p>
          <w:p w:rsidR="008307C2" w:rsidRDefault="00F1383A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общем объеме холодной воды, потребляемой на территории МО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9D0B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F1383A">
              <w:rPr>
                <w:sz w:val="20"/>
                <w:szCs w:val="20"/>
              </w:rPr>
              <w:t>,0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307C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1.6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МО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307C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МО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8307C2" w:rsidRDefault="008307C2">
      <w:pPr>
        <w:jc w:val="center"/>
      </w:pPr>
    </w:p>
    <w:p w:rsidR="008307C2" w:rsidRDefault="008307C2"/>
    <w:p w:rsidR="008307C2" w:rsidRDefault="00F1383A">
      <w:pPr>
        <w:pStyle w:val="a7"/>
        <w:numPr>
          <w:ilvl w:val="1"/>
          <w:numId w:val="4"/>
        </w:numPr>
        <w:tabs>
          <w:tab w:val="left" w:pos="567"/>
        </w:tabs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Конечные результаты реализации муниципальной программы</w:t>
      </w:r>
    </w:p>
    <w:p w:rsidR="008307C2" w:rsidRDefault="00F1383A">
      <w:pPr>
        <w:pStyle w:val="a7"/>
        <w:tabs>
          <w:tab w:val="left" w:pos="567"/>
        </w:tabs>
        <w:autoSpaceDE w:val="0"/>
        <w:ind w:left="0"/>
        <w:jc w:val="both"/>
      </w:pPr>
      <w:r>
        <w:rPr>
          <w:sz w:val="26"/>
          <w:szCs w:val="26"/>
        </w:rPr>
        <w:t>Проведение  запланированных мероприятий программы позволит добиться:</w:t>
      </w:r>
    </w:p>
    <w:p w:rsidR="008307C2" w:rsidRDefault="00F1383A">
      <w:pPr>
        <w:pStyle w:val="a7"/>
        <w:tabs>
          <w:tab w:val="left" w:pos="567"/>
        </w:tabs>
        <w:autoSpaceDE w:val="0"/>
        <w:ind w:left="0"/>
        <w:jc w:val="both"/>
      </w:pP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-снижения объемов потребления тепловой энергии по всем потреби</w:t>
      </w:r>
      <w:r w:rsidR="00FB7B80">
        <w:rPr>
          <w:sz w:val="26"/>
          <w:szCs w:val="26"/>
        </w:rPr>
        <w:t>телям на 5107 Гкал за период 2023-2028</w:t>
      </w:r>
      <w:r>
        <w:rPr>
          <w:sz w:val="26"/>
          <w:szCs w:val="26"/>
        </w:rPr>
        <w:t xml:space="preserve"> годов;</w:t>
      </w:r>
    </w:p>
    <w:p w:rsidR="008307C2" w:rsidRDefault="00F1383A">
      <w:pPr>
        <w:pStyle w:val="a7"/>
        <w:tabs>
          <w:tab w:val="left" w:pos="567"/>
        </w:tabs>
        <w:autoSpaceDE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-снижения затрат по оплате топливно-энергетических ресурсов за период действия на 13,37 млн. руб. за период 20</w:t>
      </w:r>
      <w:r w:rsidR="00FB7B80">
        <w:rPr>
          <w:sz w:val="26"/>
          <w:szCs w:val="26"/>
        </w:rPr>
        <w:t>23</w:t>
      </w:r>
      <w:r>
        <w:rPr>
          <w:sz w:val="26"/>
          <w:szCs w:val="26"/>
        </w:rPr>
        <w:t>-202</w:t>
      </w:r>
      <w:r w:rsidR="00FB7B80">
        <w:rPr>
          <w:sz w:val="26"/>
          <w:szCs w:val="26"/>
        </w:rPr>
        <w:t>8</w:t>
      </w:r>
      <w:r>
        <w:rPr>
          <w:sz w:val="26"/>
          <w:szCs w:val="26"/>
        </w:rPr>
        <w:t xml:space="preserve"> годов;</w:t>
      </w:r>
    </w:p>
    <w:p w:rsidR="008307C2" w:rsidRDefault="00F1383A">
      <w:pPr>
        <w:pStyle w:val="a7"/>
        <w:tabs>
          <w:tab w:val="left" w:pos="567"/>
        </w:tabs>
        <w:autoSpaceDE w:val="0"/>
        <w:ind w:left="0"/>
        <w:jc w:val="both"/>
      </w:pPr>
      <w:r>
        <w:rPr>
          <w:sz w:val="26"/>
          <w:szCs w:val="26"/>
        </w:rPr>
        <w:t>-экономии электрической энергии в органах исполнительной власти и муниципальных учреждениях в натуральном выражении- 302,3 т. Квт/час и  в стоимостном выражении – 2425,9 т. руб.;</w:t>
      </w:r>
    </w:p>
    <w:p w:rsidR="008307C2" w:rsidRDefault="00F1383A">
      <w:pPr>
        <w:pStyle w:val="a7"/>
        <w:tabs>
          <w:tab w:val="left" w:pos="567"/>
        </w:tabs>
        <w:autoSpaceDE w:val="0"/>
        <w:ind w:left="0"/>
        <w:jc w:val="both"/>
      </w:pPr>
      <w:r>
        <w:rPr>
          <w:sz w:val="26"/>
          <w:szCs w:val="26"/>
        </w:rPr>
        <w:t>-экономии тепловой энергии в органах исполнительной власти и муниципальных учреждениях в натуральном выражении  1705,6.Гкал и  в стоимостном выражении -4259,1 т. руб.;</w:t>
      </w:r>
    </w:p>
    <w:p w:rsidR="008307C2" w:rsidRDefault="00F1383A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-экономии холодной воды на снабжение органов исполнительной власти  муниципального образования и муниципальных учреждений в натуральном выражении-2539,6 </w:t>
      </w:r>
      <w:proofErr w:type="spellStart"/>
      <w:r>
        <w:rPr>
          <w:sz w:val="26"/>
          <w:szCs w:val="26"/>
        </w:rPr>
        <w:t>куб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>, в стоимостном выражении-96,1 т. руб.;</w:t>
      </w:r>
    </w:p>
    <w:p w:rsidR="008307C2" w:rsidRDefault="00F1383A">
      <w:pPr>
        <w:autoSpaceDE w:val="0"/>
        <w:jc w:val="both"/>
      </w:pPr>
      <w:r>
        <w:rPr>
          <w:rFonts w:eastAsia="Calibri"/>
          <w:sz w:val="26"/>
          <w:szCs w:val="26"/>
          <w:lang w:eastAsia="en-US"/>
        </w:rPr>
        <w:t xml:space="preserve">-обеспечения надежного функционирования и  динамичного развития всех отраслей экономики городского поселения «Город Медынь»; </w:t>
      </w:r>
    </w:p>
    <w:p w:rsidR="008307C2" w:rsidRDefault="00F1383A">
      <w:pPr>
        <w:autoSpaceDE w:val="0"/>
        <w:jc w:val="both"/>
      </w:pPr>
      <w:r>
        <w:rPr>
          <w:rFonts w:eastAsia="Calibri"/>
          <w:sz w:val="26"/>
          <w:szCs w:val="26"/>
          <w:lang w:eastAsia="en-US"/>
        </w:rPr>
        <w:t>-формирования безопасной, благоустроенной и стимулирующей среды жизнедеятельности с минимальными затратами энергии и ресурсов;</w:t>
      </w:r>
    </w:p>
    <w:p w:rsidR="008307C2" w:rsidRDefault="00F1383A">
      <w:pPr>
        <w:pStyle w:val="a7"/>
        <w:tabs>
          <w:tab w:val="left" w:pos="851"/>
        </w:tabs>
        <w:autoSpaceDE w:val="0"/>
        <w:ind w:left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-повышения качества жизни населения и снижения затрат на оплату жилищно-коммунальных услуг  на основе применения новейших инновационных технологий в сфере </w:t>
      </w:r>
      <w:proofErr w:type="spellStart"/>
      <w:r>
        <w:rPr>
          <w:sz w:val="26"/>
          <w:szCs w:val="26"/>
          <w:lang w:eastAsia="en-US"/>
        </w:rPr>
        <w:t>энергоресурсосбережения</w:t>
      </w:r>
      <w:proofErr w:type="spellEnd"/>
      <w:r>
        <w:rPr>
          <w:sz w:val="26"/>
          <w:szCs w:val="26"/>
          <w:lang w:eastAsia="en-US"/>
        </w:rPr>
        <w:t>;</w:t>
      </w:r>
    </w:p>
    <w:p w:rsidR="008307C2" w:rsidRDefault="00F1383A">
      <w:pPr>
        <w:pStyle w:val="a7"/>
        <w:tabs>
          <w:tab w:val="left" w:pos="851"/>
        </w:tabs>
        <w:autoSpaceDE w:val="0"/>
        <w:ind w:left="0"/>
        <w:jc w:val="both"/>
      </w:pPr>
      <w:r>
        <w:rPr>
          <w:sz w:val="26"/>
          <w:szCs w:val="26"/>
          <w:lang w:eastAsia="en-US"/>
        </w:rPr>
        <w:t>-повышения финансовой устойчивости экономики городского поселения «Город Медынь» за счет компенсации роста нагрузки на бюджет  снижением удельных расходов энергии и ресурсов;</w:t>
      </w:r>
    </w:p>
    <w:p w:rsidR="008307C2" w:rsidRDefault="00F1383A">
      <w:pPr>
        <w:pStyle w:val="a7"/>
        <w:tabs>
          <w:tab w:val="left" w:pos="851"/>
        </w:tabs>
        <w:autoSpaceDE w:val="0"/>
        <w:ind w:left="0"/>
        <w:jc w:val="both"/>
      </w:pPr>
      <w:r>
        <w:rPr>
          <w:sz w:val="26"/>
          <w:szCs w:val="26"/>
          <w:lang w:eastAsia="en-US"/>
        </w:rPr>
        <w:t>-повышения экологической эффективности и безопасности  на основе рационального и экологически ответственного использования энергии и ресурсов, способствующих обеспечению права граждан на благоприятную окружающую среду.</w:t>
      </w:r>
    </w:p>
    <w:p w:rsidR="008307C2" w:rsidRDefault="008307C2">
      <w:pPr>
        <w:pStyle w:val="a7"/>
        <w:tabs>
          <w:tab w:val="left" w:pos="567"/>
        </w:tabs>
        <w:autoSpaceDE w:val="0"/>
        <w:ind w:left="0"/>
        <w:jc w:val="both"/>
        <w:rPr>
          <w:b/>
          <w:sz w:val="26"/>
          <w:szCs w:val="26"/>
          <w:lang w:eastAsia="en-US"/>
        </w:rPr>
      </w:pPr>
    </w:p>
    <w:p w:rsidR="008307C2" w:rsidRDefault="008307C2">
      <w:pPr>
        <w:pStyle w:val="a7"/>
        <w:tabs>
          <w:tab w:val="left" w:pos="567"/>
        </w:tabs>
        <w:autoSpaceDE w:val="0"/>
        <w:jc w:val="both"/>
        <w:rPr>
          <w:b/>
          <w:sz w:val="26"/>
          <w:szCs w:val="26"/>
        </w:rPr>
      </w:pPr>
    </w:p>
    <w:p w:rsidR="008307C2" w:rsidRDefault="00F1383A">
      <w:pPr>
        <w:pStyle w:val="a7"/>
        <w:numPr>
          <w:ilvl w:val="1"/>
          <w:numId w:val="4"/>
        </w:numPr>
        <w:tabs>
          <w:tab w:val="left" w:pos="567"/>
        </w:tabs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Сроки и этапы реализации муниципальной программы</w:t>
      </w:r>
    </w:p>
    <w:p w:rsidR="008307C2" w:rsidRDefault="008307C2">
      <w:pPr>
        <w:pStyle w:val="a7"/>
        <w:tabs>
          <w:tab w:val="left" w:pos="567"/>
        </w:tabs>
        <w:autoSpaceDE w:val="0"/>
        <w:ind w:left="0"/>
        <w:jc w:val="both"/>
        <w:rPr>
          <w:b/>
          <w:sz w:val="26"/>
          <w:szCs w:val="26"/>
        </w:rPr>
      </w:pPr>
    </w:p>
    <w:p w:rsidR="008307C2" w:rsidRDefault="00F1383A">
      <w:pPr>
        <w:pStyle w:val="a7"/>
        <w:tabs>
          <w:tab w:val="left" w:pos="567"/>
        </w:tabs>
        <w:autoSpaceDE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Сроки реализации муниципальной  программы 20</w:t>
      </w:r>
      <w:r w:rsidR="00FB7B80">
        <w:rPr>
          <w:sz w:val="26"/>
          <w:szCs w:val="26"/>
        </w:rPr>
        <w:t>23 -2028</w:t>
      </w:r>
      <w:r>
        <w:rPr>
          <w:sz w:val="26"/>
          <w:szCs w:val="26"/>
        </w:rPr>
        <w:t xml:space="preserve"> годы.</w:t>
      </w:r>
    </w:p>
    <w:p w:rsidR="008307C2" w:rsidRDefault="00F1383A">
      <w:pPr>
        <w:pStyle w:val="a7"/>
        <w:numPr>
          <w:ilvl w:val="0"/>
          <w:numId w:val="4"/>
        </w:numPr>
        <w:tabs>
          <w:tab w:val="left" w:pos="567"/>
        </w:tabs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Обобщенная характеристика основных мероприятий муниципальной программы</w:t>
      </w:r>
    </w:p>
    <w:p w:rsidR="008307C2" w:rsidRDefault="00F1383A">
      <w:pPr>
        <w:pStyle w:val="a7"/>
        <w:tabs>
          <w:tab w:val="left" w:pos="567"/>
        </w:tabs>
        <w:autoSpaceDE w:val="0"/>
        <w:ind w:left="390"/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Для достижения поставленных в муниципальной программе целей система мероприятий предусматривает решение конкретных задач, взаимосвязанных и скоординированных по времени, ресурсам и исполнителям.</w:t>
      </w:r>
    </w:p>
    <w:p w:rsidR="008307C2" w:rsidRDefault="00F1383A">
      <w:pPr>
        <w:pStyle w:val="a7"/>
        <w:tabs>
          <w:tab w:val="left" w:pos="567"/>
        </w:tabs>
        <w:autoSpaceDE w:val="0"/>
        <w:ind w:left="390"/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  <w:t>Перечень основных мероприятий по направлениям расходов представлен в разделе 5 муниципальной программы.</w:t>
      </w:r>
    </w:p>
    <w:p w:rsidR="008307C2" w:rsidRDefault="008307C2">
      <w:pPr>
        <w:pStyle w:val="a7"/>
        <w:tabs>
          <w:tab w:val="left" w:pos="567"/>
        </w:tabs>
        <w:autoSpaceDE w:val="0"/>
        <w:ind w:left="0"/>
        <w:rPr>
          <w:sz w:val="26"/>
          <w:szCs w:val="26"/>
        </w:rPr>
      </w:pPr>
    </w:p>
    <w:p w:rsidR="008307C2" w:rsidRDefault="008307C2">
      <w:pPr>
        <w:pStyle w:val="a7"/>
        <w:tabs>
          <w:tab w:val="left" w:pos="567"/>
        </w:tabs>
        <w:autoSpaceDE w:val="0"/>
        <w:ind w:left="0"/>
        <w:jc w:val="both"/>
        <w:rPr>
          <w:b/>
          <w:sz w:val="26"/>
          <w:szCs w:val="26"/>
        </w:rPr>
      </w:pPr>
    </w:p>
    <w:p w:rsidR="008307C2" w:rsidRDefault="00F1383A">
      <w:pPr>
        <w:pStyle w:val="a7"/>
        <w:numPr>
          <w:ilvl w:val="0"/>
          <w:numId w:val="4"/>
        </w:numPr>
        <w:tabs>
          <w:tab w:val="left" w:pos="567"/>
        </w:tabs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Ресурсное обеспечение муниципальной программы</w:t>
      </w:r>
    </w:p>
    <w:p w:rsidR="008307C2" w:rsidRDefault="008307C2">
      <w:pPr>
        <w:pStyle w:val="a7"/>
        <w:tabs>
          <w:tab w:val="left" w:pos="567"/>
        </w:tabs>
        <w:autoSpaceDE w:val="0"/>
        <w:ind w:left="0"/>
        <w:rPr>
          <w:b/>
          <w:sz w:val="26"/>
          <w:szCs w:val="26"/>
        </w:rPr>
      </w:pPr>
    </w:p>
    <w:p w:rsidR="008307C2" w:rsidRDefault="00F1383A">
      <w:pPr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данном разделе приводится информация об объемах финансовых ресурсов, необходимых для реализации муниципальной программы за счет всех источников финансирования. </w:t>
      </w:r>
    </w:p>
    <w:p w:rsidR="008307C2" w:rsidRDefault="00F1383A">
      <w:pPr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Ресурсное обеспечение реализации муниципальной программы за счет средств  бюджета ГП «Город Медынь» подлежит ежегодному уточнению в рамках формирования проекта бюджета ГП «Город Медынь»  на очередной финансовый год и плановый период.</w:t>
      </w:r>
    </w:p>
    <w:p w:rsidR="008307C2" w:rsidRDefault="008307C2">
      <w:pPr>
        <w:pStyle w:val="a7"/>
        <w:tabs>
          <w:tab w:val="left" w:pos="567"/>
        </w:tabs>
        <w:autoSpaceDE w:val="0"/>
        <w:jc w:val="center"/>
        <w:rPr>
          <w:b/>
          <w:sz w:val="26"/>
          <w:szCs w:val="26"/>
        </w:rPr>
      </w:pPr>
    </w:p>
    <w:p w:rsidR="008307C2" w:rsidRDefault="00F1383A">
      <w:pPr>
        <w:tabs>
          <w:tab w:val="left" w:pos="567"/>
        </w:tabs>
        <w:autoSpaceDE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Общий объем финансовых ресурсов, необходимых для реализации муниципальной программы «Энергосбережение и повышение энергоэффективности в городском поселении» на 20</w:t>
      </w:r>
      <w:r w:rsidR="00FB7B80">
        <w:rPr>
          <w:b/>
          <w:sz w:val="26"/>
          <w:szCs w:val="26"/>
        </w:rPr>
        <w:t>23-2028</w:t>
      </w:r>
      <w:r>
        <w:rPr>
          <w:b/>
          <w:sz w:val="26"/>
          <w:szCs w:val="26"/>
        </w:rPr>
        <w:t xml:space="preserve"> годы»</w:t>
      </w:r>
    </w:p>
    <w:p w:rsidR="008307C2" w:rsidRDefault="008307C2">
      <w:pPr>
        <w:tabs>
          <w:tab w:val="left" w:pos="567"/>
        </w:tabs>
        <w:autoSpaceDE w:val="0"/>
        <w:jc w:val="both"/>
        <w:rPr>
          <w:b/>
          <w:sz w:val="26"/>
          <w:szCs w:val="26"/>
        </w:rPr>
      </w:pPr>
    </w:p>
    <w:p w:rsidR="008307C2" w:rsidRDefault="00F1383A">
      <w:pPr>
        <w:tabs>
          <w:tab w:val="left" w:pos="709"/>
        </w:tabs>
        <w:autoSpaceDE w:val="0"/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>
        <w:t>(тыс. руб. в ценах каждого года)</w:t>
      </w:r>
    </w:p>
    <w:tbl>
      <w:tblPr>
        <w:tblW w:w="963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630"/>
        <w:gridCol w:w="1061"/>
        <w:gridCol w:w="761"/>
        <w:gridCol w:w="761"/>
        <w:gridCol w:w="761"/>
        <w:gridCol w:w="961"/>
        <w:gridCol w:w="961"/>
        <w:gridCol w:w="739"/>
      </w:tblGrid>
      <w:tr w:rsidR="008307C2" w:rsidTr="00811D2B"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F1383A">
            <w:pPr>
              <w:tabs>
                <w:tab w:val="left" w:pos="709"/>
              </w:tabs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F1383A">
            <w:pPr>
              <w:tabs>
                <w:tab w:val="left" w:pos="709"/>
              </w:tabs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4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7C2" w:rsidRDefault="00F1383A">
            <w:pPr>
              <w:tabs>
                <w:tab w:val="left" w:pos="709"/>
              </w:tabs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 годам</w:t>
            </w:r>
          </w:p>
        </w:tc>
      </w:tr>
      <w:tr w:rsidR="008307C2" w:rsidTr="00811D2B">
        <w:tc>
          <w:tcPr>
            <w:tcW w:w="3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8307C2">
            <w:pPr>
              <w:tabs>
                <w:tab w:val="left" w:pos="709"/>
              </w:tabs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8307C2">
            <w:pPr>
              <w:tabs>
                <w:tab w:val="left" w:pos="709"/>
              </w:tabs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Pr="00FB7B80" w:rsidRDefault="00F1383A" w:rsidP="00FB7B80">
            <w:pPr>
              <w:autoSpaceDE w:val="0"/>
              <w:ind w:left="-57" w:right="-57"/>
              <w:jc w:val="center"/>
              <w:rPr>
                <w:sz w:val="22"/>
                <w:szCs w:val="22"/>
              </w:rPr>
            </w:pPr>
            <w:r w:rsidRPr="00FB7B80">
              <w:rPr>
                <w:sz w:val="22"/>
                <w:szCs w:val="22"/>
              </w:rPr>
              <w:t>20</w:t>
            </w:r>
            <w:r w:rsidR="00FB7B80" w:rsidRPr="00FB7B80">
              <w:rPr>
                <w:sz w:val="22"/>
                <w:szCs w:val="22"/>
              </w:rPr>
              <w:t>23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Pr="00FB7B80" w:rsidRDefault="00FB7B80">
            <w:pPr>
              <w:autoSpaceDE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Pr="00FB7B80" w:rsidRDefault="00F1383A" w:rsidP="00FB7B80">
            <w:pPr>
              <w:autoSpaceDE w:val="0"/>
              <w:ind w:left="-57" w:right="-57"/>
              <w:jc w:val="center"/>
              <w:rPr>
                <w:sz w:val="22"/>
                <w:szCs w:val="22"/>
              </w:rPr>
            </w:pPr>
            <w:r w:rsidRPr="00FB7B80">
              <w:rPr>
                <w:sz w:val="22"/>
                <w:szCs w:val="22"/>
              </w:rPr>
              <w:t>20</w:t>
            </w:r>
            <w:r w:rsidR="00FB7B80">
              <w:rPr>
                <w:sz w:val="22"/>
                <w:szCs w:val="22"/>
              </w:rPr>
              <w:t>25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Pr="00FB7B80" w:rsidRDefault="00F1383A" w:rsidP="00FB7B80">
            <w:pPr>
              <w:autoSpaceDE w:val="0"/>
              <w:ind w:left="-57" w:right="-57"/>
              <w:jc w:val="center"/>
              <w:rPr>
                <w:sz w:val="22"/>
                <w:szCs w:val="22"/>
              </w:rPr>
            </w:pPr>
            <w:r w:rsidRPr="00FB7B80">
              <w:rPr>
                <w:sz w:val="22"/>
                <w:szCs w:val="22"/>
              </w:rPr>
              <w:t>202</w:t>
            </w:r>
            <w:r w:rsidR="00FB7B80">
              <w:rPr>
                <w:sz w:val="22"/>
                <w:szCs w:val="22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Pr="00FB7B80" w:rsidRDefault="00F1383A" w:rsidP="00FB7B80">
            <w:pPr>
              <w:autoSpaceDE w:val="0"/>
              <w:ind w:left="-57" w:right="-57"/>
              <w:jc w:val="center"/>
              <w:rPr>
                <w:sz w:val="22"/>
                <w:szCs w:val="22"/>
              </w:rPr>
            </w:pPr>
            <w:r w:rsidRPr="00FB7B80">
              <w:rPr>
                <w:sz w:val="22"/>
                <w:szCs w:val="22"/>
              </w:rPr>
              <w:t>202</w:t>
            </w:r>
            <w:r w:rsidR="00FB7B80">
              <w:rPr>
                <w:sz w:val="22"/>
                <w:szCs w:val="22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7C2" w:rsidRPr="00FB7B80" w:rsidRDefault="00F1383A" w:rsidP="00FB7B80">
            <w:pPr>
              <w:autoSpaceDE w:val="0"/>
              <w:jc w:val="center"/>
              <w:rPr>
                <w:sz w:val="22"/>
                <w:szCs w:val="22"/>
              </w:rPr>
            </w:pPr>
            <w:r w:rsidRPr="00FB7B80">
              <w:rPr>
                <w:sz w:val="22"/>
                <w:szCs w:val="22"/>
              </w:rPr>
              <w:t>202</w:t>
            </w:r>
            <w:r w:rsidR="00FB7B80">
              <w:rPr>
                <w:sz w:val="22"/>
                <w:szCs w:val="22"/>
              </w:rPr>
              <w:t>8</w:t>
            </w:r>
          </w:p>
        </w:tc>
      </w:tr>
      <w:tr w:rsidR="00811D2B" w:rsidTr="00811D2B"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D2B" w:rsidRDefault="00811D2B">
            <w:pPr>
              <w:tabs>
                <w:tab w:val="left" w:pos="709"/>
              </w:tabs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B51642" w:rsidRDefault="00FB7B80" w:rsidP="004E519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B51642" w:rsidRDefault="00FB7B80" w:rsidP="004E5196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FB7B80">
              <w:rPr>
                <w:bCs/>
                <w:sz w:val="20"/>
                <w:szCs w:val="20"/>
              </w:rPr>
              <w:t>11200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B51642" w:rsidRDefault="00FB7B80" w:rsidP="004E5196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FB7B80">
              <w:rPr>
                <w:bCs/>
                <w:sz w:val="20"/>
                <w:szCs w:val="20"/>
              </w:rPr>
              <w:t>11200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B51642" w:rsidRDefault="00FB7B80" w:rsidP="004E5196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FB7B80">
              <w:rPr>
                <w:bCs/>
                <w:sz w:val="20"/>
                <w:szCs w:val="20"/>
              </w:rPr>
              <w:t>11200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B51642" w:rsidRDefault="00FB7B80" w:rsidP="004E5196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FB7B80">
              <w:rPr>
                <w:bCs/>
                <w:sz w:val="20"/>
                <w:szCs w:val="20"/>
              </w:rPr>
              <w:t>11200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B51642" w:rsidRDefault="00FB7B80" w:rsidP="004E5196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FB7B80">
              <w:rPr>
                <w:bCs/>
                <w:sz w:val="20"/>
                <w:szCs w:val="20"/>
              </w:rPr>
              <w:t>11200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D2B" w:rsidRPr="00B51642" w:rsidRDefault="00FB7B80" w:rsidP="004E5196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FB7B80">
              <w:rPr>
                <w:bCs/>
                <w:sz w:val="20"/>
                <w:szCs w:val="20"/>
              </w:rPr>
              <w:t>11200</w:t>
            </w:r>
          </w:p>
        </w:tc>
      </w:tr>
      <w:tr w:rsidR="008307C2" w:rsidTr="00811D2B"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tabs>
                <w:tab w:val="left" w:pos="709"/>
              </w:tabs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источникам финансирования: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Pr="00E31306" w:rsidRDefault="008307C2">
            <w:pPr>
              <w:tabs>
                <w:tab w:val="left" w:pos="709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8307C2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8307C2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8307C2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8307C2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8307C2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7C2" w:rsidRDefault="008307C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11D2B" w:rsidTr="00811D2B"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D2B" w:rsidRDefault="00811D2B">
            <w:pPr>
              <w:tabs>
                <w:tab w:val="left" w:pos="709"/>
              </w:tabs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бюджета ГП «Город Медынь»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B51642" w:rsidRDefault="003F5DF0" w:rsidP="004E5196">
            <w:pPr>
              <w:autoSpaceDE w:val="0"/>
              <w:jc w:val="center"/>
              <w:rPr>
                <w:sz w:val="20"/>
                <w:szCs w:val="20"/>
              </w:rPr>
            </w:pPr>
            <w:r w:rsidRPr="003F5DF0">
              <w:rPr>
                <w:sz w:val="20"/>
                <w:szCs w:val="20"/>
              </w:rPr>
              <w:t>67200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B51642" w:rsidRDefault="003F5DF0" w:rsidP="004E5196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3F5DF0">
              <w:rPr>
                <w:bCs/>
                <w:sz w:val="20"/>
                <w:szCs w:val="20"/>
              </w:rPr>
              <w:t>11200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B51642" w:rsidRDefault="003F5DF0" w:rsidP="004E5196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3F5DF0">
              <w:rPr>
                <w:bCs/>
                <w:sz w:val="20"/>
                <w:szCs w:val="20"/>
              </w:rPr>
              <w:t>11200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B51642" w:rsidRDefault="003F5DF0" w:rsidP="004E5196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3F5DF0">
              <w:rPr>
                <w:bCs/>
                <w:sz w:val="20"/>
                <w:szCs w:val="20"/>
              </w:rPr>
              <w:t>11200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B51642" w:rsidRDefault="003F5DF0" w:rsidP="004E5196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3F5DF0">
              <w:rPr>
                <w:bCs/>
                <w:sz w:val="20"/>
                <w:szCs w:val="20"/>
              </w:rPr>
              <w:t>11200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B51642" w:rsidRDefault="003F5DF0" w:rsidP="004E5196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3F5DF0">
              <w:rPr>
                <w:bCs/>
                <w:sz w:val="20"/>
                <w:szCs w:val="20"/>
              </w:rPr>
              <w:t>11200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D2B" w:rsidRPr="00B51642" w:rsidRDefault="003F5DF0" w:rsidP="004E5196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3F5DF0">
              <w:rPr>
                <w:bCs/>
                <w:sz w:val="20"/>
                <w:szCs w:val="20"/>
              </w:rPr>
              <w:t>11200</w:t>
            </w:r>
          </w:p>
        </w:tc>
      </w:tr>
    </w:tbl>
    <w:p w:rsidR="008307C2" w:rsidRDefault="008307C2">
      <w:pPr>
        <w:pStyle w:val="a7"/>
        <w:tabs>
          <w:tab w:val="left" w:pos="567"/>
        </w:tabs>
        <w:autoSpaceDE w:val="0"/>
        <w:ind w:left="0"/>
        <w:jc w:val="both"/>
        <w:rPr>
          <w:b/>
          <w:sz w:val="26"/>
          <w:szCs w:val="26"/>
        </w:rPr>
      </w:pPr>
    </w:p>
    <w:p w:rsidR="008307C2" w:rsidRDefault="008307C2">
      <w:pPr>
        <w:rPr>
          <w:b/>
          <w:sz w:val="26"/>
          <w:szCs w:val="26"/>
        </w:rPr>
      </w:pPr>
    </w:p>
    <w:p w:rsidR="008307C2" w:rsidRDefault="00F138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Механизм реализации муниципальной программы</w:t>
      </w:r>
    </w:p>
    <w:p w:rsidR="008307C2" w:rsidRDefault="008307C2">
      <w:pPr>
        <w:rPr>
          <w:b/>
          <w:sz w:val="26"/>
          <w:szCs w:val="26"/>
        </w:rPr>
      </w:pPr>
    </w:p>
    <w:p w:rsidR="008307C2" w:rsidRDefault="00F1383A">
      <w:pPr>
        <w:pStyle w:val="20"/>
        <w:spacing w:line="240" w:lineRule="auto"/>
        <w:ind w:firstLine="379"/>
        <w:jc w:val="both"/>
      </w:pPr>
      <w:r>
        <w:rPr>
          <w:sz w:val="26"/>
          <w:szCs w:val="26"/>
        </w:rPr>
        <w:t>Механизм реализации программы определяется отделом городского и жилищно-коммунального хозяйства администрации МР «Медынский район» и предусматривает проведение организационных мероприятий, включая подготовку и (или) внесение изменений в нормативные правовые акты администрации муниципального района «Медынский район», обеспечивающие выполнение программы в соответствии с действующим законодательством.</w:t>
      </w:r>
    </w:p>
    <w:p w:rsidR="008307C2" w:rsidRDefault="00F1383A">
      <w:pPr>
        <w:pStyle w:val="20"/>
        <w:spacing w:line="240" w:lineRule="auto"/>
        <w:ind w:firstLine="379"/>
        <w:jc w:val="both"/>
        <w:rPr>
          <w:sz w:val="26"/>
          <w:szCs w:val="26"/>
        </w:rPr>
      </w:pPr>
      <w:r>
        <w:rPr>
          <w:sz w:val="26"/>
          <w:szCs w:val="26"/>
        </w:rPr>
        <w:t>Отдел городского и ЖКХ администрации МР «Медынский район» контролирует целенаправленное и эффективное использование финансирования и выполнения намеченных мероприятий.</w:t>
      </w:r>
    </w:p>
    <w:p w:rsidR="00A062D1" w:rsidRDefault="00F1383A" w:rsidP="00811D2B">
      <w:pPr>
        <w:pStyle w:val="20"/>
        <w:spacing w:line="240" w:lineRule="auto"/>
        <w:ind w:firstLine="37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Управление и контроль реализации программы осуществляется в соответствии с полномочиями, указанными в пункте 2 раздела </w:t>
      </w:r>
      <w:r>
        <w:rPr>
          <w:sz w:val="26"/>
          <w:szCs w:val="26"/>
          <w:lang w:val="en-US"/>
        </w:rPr>
        <w:t>VI</w:t>
      </w:r>
      <w:r>
        <w:rPr>
          <w:sz w:val="26"/>
          <w:szCs w:val="26"/>
        </w:rPr>
        <w:t xml:space="preserve"> «Полномочия ответственного исполнителя, соисполнителей и участников программы при разработке и реализации муниципальных программ» и на основании положений, определенных в разделе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 «Управление и контроль реализации муниципальной программы» Порядка </w:t>
      </w:r>
      <w:r w:rsidR="004E0CA5">
        <w:rPr>
          <w:sz w:val="26"/>
          <w:szCs w:val="26"/>
        </w:rPr>
        <w:t>разработки и реализации муниципальных программ городского поселения «Город Медынь»</w:t>
      </w:r>
      <w:r>
        <w:rPr>
          <w:sz w:val="26"/>
          <w:szCs w:val="26"/>
        </w:rPr>
        <w:t>,  утвержденного постановлением администрации муниципального района «Медынский район</w:t>
      </w:r>
      <w:proofErr w:type="gramEnd"/>
      <w:r>
        <w:rPr>
          <w:sz w:val="26"/>
          <w:szCs w:val="26"/>
        </w:rPr>
        <w:t xml:space="preserve">» от </w:t>
      </w:r>
      <w:r w:rsidR="004E0CA5">
        <w:rPr>
          <w:sz w:val="26"/>
          <w:szCs w:val="26"/>
        </w:rPr>
        <w:t>09.12.2016</w:t>
      </w:r>
      <w:r>
        <w:rPr>
          <w:sz w:val="26"/>
          <w:szCs w:val="26"/>
        </w:rPr>
        <w:t xml:space="preserve"> года № 1</w:t>
      </w:r>
      <w:r w:rsidR="004E0CA5">
        <w:rPr>
          <w:sz w:val="26"/>
          <w:szCs w:val="26"/>
        </w:rPr>
        <w:t>307</w:t>
      </w:r>
      <w:r>
        <w:rPr>
          <w:sz w:val="26"/>
          <w:szCs w:val="26"/>
        </w:rPr>
        <w:t>.</w:t>
      </w:r>
    </w:p>
    <w:p w:rsidR="00940E87" w:rsidRDefault="00940E87" w:rsidP="00811D2B">
      <w:pPr>
        <w:pStyle w:val="20"/>
        <w:spacing w:line="240" w:lineRule="auto"/>
        <w:ind w:firstLine="379"/>
        <w:jc w:val="both"/>
        <w:rPr>
          <w:sz w:val="26"/>
          <w:szCs w:val="26"/>
        </w:rPr>
      </w:pPr>
    </w:p>
    <w:p w:rsidR="00940E87" w:rsidRDefault="00940E87" w:rsidP="00811D2B">
      <w:pPr>
        <w:pStyle w:val="20"/>
        <w:spacing w:line="240" w:lineRule="auto"/>
        <w:ind w:firstLine="379"/>
        <w:jc w:val="both"/>
        <w:rPr>
          <w:sz w:val="26"/>
          <w:szCs w:val="26"/>
        </w:rPr>
      </w:pPr>
    </w:p>
    <w:p w:rsidR="00D96A16" w:rsidRPr="00D96A16" w:rsidRDefault="00D96A16" w:rsidP="00D96A16">
      <w:pPr>
        <w:ind w:firstLine="380"/>
        <w:jc w:val="right"/>
        <w:rPr>
          <w:sz w:val="26"/>
          <w:szCs w:val="26"/>
        </w:rPr>
      </w:pPr>
      <w:r w:rsidRPr="00D96A16">
        <w:rPr>
          <w:sz w:val="26"/>
          <w:szCs w:val="26"/>
        </w:rPr>
        <w:lastRenderedPageBreak/>
        <w:t>Приложение №1</w:t>
      </w:r>
    </w:p>
    <w:p w:rsidR="00D96A16" w:rsidRPr="00D96A16" w:rsidRDefault="004E0CA5" w:rsidP="00D96A16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D96A16" w:rsidRPr="00D96A16">
        <w:rPr>
          <w:b/>
          <w:sz w:val="26"/>
          <w:szCs w:val="26"/>
        </w:rPr>
        <w:t>. Перечень  мероприятий муниципальной программы</w:t>
      </w:r>
    </w:p>
    <w:p w:rsidR="00D96A16" w:rsidRPr="00D96A16" w:rsidRDefault="00D96A16" w:rsidP="00D96A16">
      <w:pPr>
        <w:autoSpaceDE w:val="0"/>
        <w:jc w:val="center"/>
      </w:pPr>
      <w:r w:rsidRPr="00D96A16">
        <w:rPr>
          <w:b/>
          <w:sz w:val="26"/>
          <w:szCs w:val="26"/>
        </w:rPr>
        <w:t>«Энергосбережение и по</w:t>
      </w:r>
      <w:r w:rsidR="00DC39FB">
        <w:rPr>
          <w:b/>
          <w:sz w:val="26"/>
          <w:szCs w:val="26"/>
        </w:rPr>
        <w:t>вышение энергоэффективности в ГП  «Город Медынь</w:t>
      </w:r>
      <w:r w:rsidRPr="00D96A16">
        <w:rPr>
          <w:b/>
          <w:sz w:val="26"/>
          <w:szCs w:val="26"/>
        </w:rPr>
        <w:t>»</w:t>
      </w:r>
    </w:p>
    <w:p w:rsidR="00811D2B" w:rsidRPr="00D96A16" w:rsidRDefault="00811D2B" w:rsidP="00811D2B">
      <w:pPr>
        <w:autoSpaceDE w:val="0"/>
      </w:pPr>
      <w:r w:rsidRPr="00D96A16">
        <w:rPr>
          <w:sz w:val="20"/>
          <w:szCs w:val="20"/>
        </w:rPr>
        <w:t xml:space="preserve">                                              </w:t>
      </w:r>
      <w:r w:rsidRPr="00D96A16">
        <w:t xml:space="preserve"> </w:t>
      </w:r>
    </w:p>
    <w:tbl>
      <w:tblPr>
        <w:tblW w:w="10668" w:type="dxa"/>
        <w:tblInd w:w="-6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46"/>
        <w:gridCol w:w="1887"/>
        <w:gridCol w:w="633"/>
        <w:gridCol w:w="1410"/>
        <w:gridCol w:w="954"/>
        <w:gridCol w:w="976"/>
        <w:gridCol w:w="706"/>
        <w:gridCol w:w="706"/>
        <w:gridCol w:w="773"/>
        <w:gridCol w:w="819"/>
        <w:gridCol w:w="740"/>
        <w:gridCol w:w="718"/>
      </w:tblGrid>
      <w:tr w:rsidR="00811D2B" w:rsidRPr="00D96A16" w:rsidTr="00F00B8A"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D96A16" w:rsidRDefault="00811D2B" w:rsidP="004E5196">
            <w:pPr>
              <w:ind w:left="-57" w:right="-57"/>
              <w:jc w:val="center"/>
              <w:rPr>
                <w:sz w:val="18"/>
                <w:szCs w:val="18"/>
              </w:rPr>
            </w:pPr>
            <w:r w:rsidRPr="00D96A16">
              <w:rPr>
                <w:sz w:val="18"/>
                <w:szCs w:val="18"/>
              </w:rPr>
              <w:t>№</w:t>
            </w:r>
          </w:p>
          <w:p w:rsidR="00811D2B" w:rsidRPr="00D96A16" w:rsidRDefault="00811D2B" w:rsidP="004E5196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D96A16">
              <w:rPr>
                <w:sz w:val="18"/>
                <w:szCs w:val="18"/>
              </w:rPr>
              <w:t>п</w:t>
            </w:r>
            <w:proofErr w:type="gramEnd"/>
            <w:r w:rsidRPr="00D96A16">
              <w:rPr>
                <w:sz w:val="18"/>
                <w:szCs w:val="18"/>
              </w:rPr>
              <w:t>/п</w:t>
            </w:r>
          </w:p>
          <w:p w:rsidR="00811D2B" w:rsidRPr="00D96A16" w:rsidRDefault="00811D2B" w:rsidP="004E5196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811D2B" w:rsidRPr="00D96A16" w:rsidRDefault="00811D2B" w:rsidP="004E5196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D96A16" w:rsidRDefault="00811D2B" w:rsidP="004E5196">
            <w:pPr>
              <w:ind w:left="-57" w:right="-57"/>
              <w:jc w:val="center"/>
              <w:rPr>
                <w:sz w:val="18"/>
                <w:szCs w:val="18"/>
              </w:rPr>
            </w:pPr>
            <w:r w:rsidRPr="00D96A16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D96A16" w:rsidRDefault="00811D2B" w:rsidP="004E5196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96A16">
              <w:rPr>
                <w:sz w:val="18"/>
                <w:szCs w:val="18"/>
              </w:rPr>
              <w:t xml:space="preserve">Сроки </w:t>
            </w:r>
            <w:proofErr w:type="spellStart"/>
            <w:proofErr w:type="gramStart"/>
            <w:r w:rsidRPr="00D96A16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D96A16" w:rsidRDefault="00811D2B" w:rsidP="004E5196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96A16">
              <w:rPr>
                <w:sz w:val="18"/>
                <w:szCs w:val="18"/>
              </w:rPr>
              <w:t>Ответственный исполнитель, (</w:t>
            </w:r>
            <w:proofErr w:type="spellStart"/>
            <w:r w:rsidRPr="00D96A16">
              <w:rPr>
                <w:sz w:val="18"/>
                <w:szCs w:val="18"/>
              </w:rPr>
              <w:t>соисполнител</w:t>
            </w:r>
            <w:proofErr w:type="spellEnd"/>
            <w:r w:rsidRPr="00D96A16">
              <w:rPr>
                <w:sz w:val="18"/>
                <w:szCs w:val="18"/>
              </w:rPr>
              <w:t>, участники) программы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D96A16" w:rsidRDefault="00811D2B" w:rsidP="004E5196">
            <w:pPr>
              <w:ind w:left="-57" w:right="-57"/>
              <w:jc w:val="center"/>
              <w:rPr>
                <w:sz w:val="18"/>
                <w:szCs w:val="18"/>
              </w:rPr>
            </w:pPr>
            <w:r w:rsidRPr="00D96A16">
              <w:rPr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D96A16">
              <w:rPr>
                <w:sz w:val="18"/>
                <w:szCs w:val="1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D96A16" w:rsidRDefault="00811D2B" w:rsidP="004E5196">
            <w:pPr>
              <w:ind w:left="-57" w:right="-57"/>
              <w:jc w:val="center"/>
              <w:rPr>
                <w:sz w:val="18"/>
                <w:szCs w:val="18"/>
              </w:rPr>
            </w:pPr>
            <w:r w:rsidRPr="00D96A16">
              <w:rPr>
                <w:sz w:val="18"/>
                <w:szCs w:val="18"/>
              </w:rPr>
              <w:t>Сумма расходов, всего</w:t>
            </w:r>
          </w:p>
          <w:p w:rsidR="00811D2B" w:rsidRPr="00D96A16" w:rsidRDefault="00811D2B" w:rsidP="004E5196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96A16">
              <w:rPr>
                <w:sz w:val="18"/>
                <w:szCs w:val="18"/>
              </w:rPr>
              <w:t>(тыс. руб.)</w:t>
            </w:r>
          </w:p>
        </w:tc>
        <w:tc>
          <w:tcPr>
            <w:tcW w:w="4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D2B" w:rsidRPr="00D96A16" w:rsidRDefault="00811D2B" w:rsidP="004E5196">
            <w:pPr>
              <w:autoSpaceDE w:val="0"/>
              <w:jc w:val="center"/>
              <w:rPr>
                <w:sz w:val="18"/>
                <w:szCs w:val="18"/>
              </w:rPr>
            </w:pPr>
            <w:r w:rsidRPr="00D96A16">
              <w:rPr>
                <w:sz w:val="18"/>
                <w:szCs w:val="18"/>
              </w:rPr>
              <w:t>в том числе по годам реализации программы:</w:t>
            </w:r>
          </w:p>
        </w:tc>
      </w:tr>
      <w:tr w:rsidR="00811D2B" w:rsidRPr="00D96A16" w:rsidTr="00F00B8A"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D96A16" w:rsidRDefault="00811D2B" w:rsidP="004E519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D96A16" w:rsidRDefault="00811D2B" w:rsidP="004E5196">
            <w:pPr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D96A16" w:rsidRDefault="00811D2B" w:rsidP="004E519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D96A16" w:rsidRDefault="00811D2B" w:rsidP="004E519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D96A16" w:rsidRDefault="00811D2B" w:rsidP="004E519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D96A16" w:rsidRDefault="00811D2B" w:rsidP="004E519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D96A16" w:rsidRDefault="00811D2B" w:rsidP="00940E87">
            <w:pPr>
              <w:autoSpaceDE w:val="0"/>
              <w:ind w:left="-57" w:right="-57"/>
              <w:jc w:val="center"/>
              <w:rPr>
                <w:sz w:val="18"/>
                <w:szCs w:val="18"/>
              </w:rPr>
            </w:pPr>
            <w:r w:rsidRPr="00D96A16">
              <w:rPr>
                <w:sz w:val="18"/>
                <w:szCs w:val="18"/>
              </w:rPr>
              <w:t>20</w:t>
            </w:r>
            <w:r w:rsidR="00940E87">
              <w:rPr>
                <w:sz w:val="18"/>
                <w:szCs w:val="18"/>
              </w:rPr>
              <w:t>23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D96A16" w:rsidRDefault="00811D2B" w:rsidP="00940E87">
            <w:pPr>
              <w:autoSpaceDE w:val="0"/>
              <w:ind w:left="-57" w:right="-57"/>
              <w:jc w:val="center"/>
              <w:rPr>
                <w:sz w:val="18"/>
                <w:szCs w:val="18"/>
              </w:rPr>
            </w:pPr>
            <w:r w:rsidRPr="00D96A16">
              <w:rPr>
                <w:sz w:val="18"/>
                <w:szCs w:val="18"/>
              </w:rPr>
              <w:t>20</w:t>
            </w:r>
            <w:r w:rsidR="00940E87">
              <w:rPr>
                <w:sz w:val="18"/>
                <w:szCs w:val="18"/>
              </w:rPr>
              <w:t>24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D96A16" w:rsidRDefault="00811D2B" w:rsidP="00940E87">
            <w:pPr>
              <w:autoSpaceDE w:val="0"/>
              <w:ind w:left="-57" w:right="-57"/>
              <w:jc w:val="center"/>
              <w:rPr>
                <w:sz w:val="18"/>
                <w:szCs w:val="18"/>
              </w:rPr>
            </w:pPr>
            <w:r w:rsidRPr="00D96A16">
              <w:rPr>
                <w:sz w:val="18"/>
                <w:szCs w:val="18"/>
              </w:rPr>
              <w:t>20</w:t>
            </w:r>
            <w:r w:rsidR="00940E87">
              <w:rPr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D96A16" w:rsidRDefault="00811D2B" w:rsidP="00940E87">
            <w:pPr>
              <w:autoSpaceDE w:val="0"/>
              <w:ind w:left="-57" w:right="-57"/>
              <w:jc w:val="center"/>
              <w:rPr>
                <w:sz w:val="18"/>
                <w:szCs w:val="18"/>
              </w:rPr>
            </w:pPr>
            <w:r w:rsidRPr="00D96A16">
              <w:rPr>
                <w:sz w:val="18"/>
                <w:szCs w:val="18"/>
              </w:rPr>
              <w:t>202</w:t>
            </w:r>
            <w:r w:rsidR="00940E87">
              <w:rPr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D96A16" w:rsidRDefault="00811D2B" w:rsidP="00940E87">
            <w:pPr>
              <w:autoSpaceDE w:val="0"/>
              <w:ind w:left="-57" w:right="-57"/>
              <w:jc w:val="center"/>
              <w:rPr>
                <w:sz w:val="18"/>
                <w:szCs w:val="18"/>
              </w:rPr>
            </w:pPr>
            <w:r w:rsidRPr="00D96A16">
              <w:rPr>
                <w:sz w:val="18"/>
                <w:szCs w:val="18"/>
              </w:rPr>
              <w:t>202</w:t>
            </w:r>
            <w:r w:rsidR="00940E87">
              <w:rPr>
                <w:sz w:val="18"/>
                <w:szCs w:val="18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D2B" w:rsidRPr="00D96A16" w:rsidRDefault="00811D2B" w:rsidP="00940E87">
            <w:pPr>
              <w:autoSpaceDE w:val="0"/>
              <w:ind w:left="-57" w:right="-57"/>
              <w:jc w:val="center"/>
              <w:rPr>
                <w:sz w:val="18"/>
                <w:szCs w:val="18"/>
              </w:rPr>
            </w:pPr>
            <w:r w:rsidRPr="00D96A16">
              <w:rPr>
                <w:sz w:val="18"/>
                <w:szCs w:val="18"/>
              </w:rPr>
              <w:t>202</w:t>
            </w:r>
            <w:r w:rsidR="00940E87">
              <w:rPr>
                <w:sz w:val="18"/>
                <w:szCs w:val="18"/>
              </w:rPr>
              <w:t>8</w:t>
            </w:r>
          </w:p>
        </w:tc>
      </w:tr>
      <w:tr w:rsidR="00811D2B" w:rsidRPr="008B6FB8" w:rsidTr="00F00B8A">
        <w:trPr>
          <w:trHeight w:val="1144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811D2B" w:rsidP="004E5196">
            <w:pPr>
              <w:spacing w:after="120"/>
              <w:rPr>
                <w:caps/>
                <w:sz w:val="18"/>
                <w:szCs w:val="18"/>
              </w:rPr>
            </w:pPr>
            <w:r w:rsidRPr="008B6FB8">
              <w:rPr>
                <w:caps/>
                <w:sz w:val="18"/>
                <w:szCs w:val="18"/>
              </w:rPr>
              <w:t>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811D2B" w:rsidP="0019662E">
            <w:pPr>
              <w:spacing w:after="120"/>
              <w:jc w:val="center"/>
              <w:rPr>
                <w:sz w:val="18"/>
                <w:szCs w:val="18"/>
              </w:rPr>
            </w:pPr>
            <w:r w:rsidRPr="008B6FB8">
              <w:rPr>
                <w:sz w:val="18"/>
                <w:szCs w:val="18"/>
              </w:rPr>
              <w:t>Установка приборов учета на социально-значимых объектах и в жилом фонде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811D2B" w:rsidP="00940E87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20</w:t>
            </w:r>
            <w:r w:rsidR="00940E87">
              <w:rPr>
                <w:bCs/>
                <w:sz w:val="18"/>
                <w:szCs w:val="18"/>
              </w:rPr>
              <w:t>23</w:t>
            </w:r>
            <w:r w:rsidRPr="008B6FB8">
              <w:rPr>
                <w:bCs/>
                <w:sz w:val="18"/>
                <w:szCs w:val="18"/>
              </w:rPr>
              <w:t>-202</w:t>
            </w:r>
            <w:r w:rsidR="00940E87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811D2B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отдел городского и ЖКХ администрации МР «Медынский район»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811D2B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Бюджет ГП «Город Медынь»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811D2B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811D2B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811D2B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811D2B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811D2B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811D2B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D2B" w:rsidRPr="008B6FB8" w:rsidRDefault="00811D2B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</w:tr>
      <w:tr w:rsidR="00811D2B" w:rsidRPr="008B6FB8" w:rsidTr="00F00B8A">
        <w:trPr>
          <w:trHeight w:val="1047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811D2B" w:rsidP="004E5196">
            <w:pPr>
              <w:spacing w:after="120"/>
            </w:pPr>
            <w:r w:rsidRPr="008B6FB8">
              <w:rPr>
                <w:caps/>
                <w:sz w:val="18"/>
                <w:szCs w:val="18"/>
              </w:rPr>
              <w:t>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811D2B" w:rsidP="004E5196">
            <w:pPr>
              <w:spacing w:after="120"/>
              <w:jc w:val="center"/>
              <w:rPr>
                <w:sz w:val="18"/>
                <w:szCs w:val="18"/>
              </w:rPr>
            </w:pPr>
            <w:r w:rsidRPr="008B6FB8">
              <w:rPr>
                <w:sz w:val="18"/>
                <w:szCs w:val="18"/>
              </w:rPr>
              <w:t>Монтаж, обслуживание и ремонт уличного освещения. Замена на энергосберегающие лампы в светильниках уличного освещения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811D2B" w:rsidP="00940E87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20</w:t>
            </w:r>
            <w:r w:rsidR="00940E87">
              <w:rPr>
                <w:bCs/>
                <w:sz w:val="18"/>
                <w:szCs w:val="18"/>
              </w:rPr>
              <w:t>23</w:t>
            </w:r>
            <w:r w:rsidRPr="008B6FB8">
              <w:rPr>
                <w:bCs/>
                <w:sz w:val="18"/>
                <w:szCs w:val="18"/>
              </w:rPr>
              <w:t>-202</w:t>
            </w:r>
            <w:r w:rsidR="00940E87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811D2B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отдел городского и ЖКХ администрации МР «Медынский район»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811D2B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Бюджет ГП «Город Медынь»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F00B8A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F00B8A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F00B8A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F00B8A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F00B8A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F00B8A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D2B" w:rsidRPr="008B6FB8" w:rsidRDefault="00811D2B" w:rsidP="00F00B8A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F00B8A">
              <w:rPr>
                <w:bCs/>
                <w:sz w:val="18"/>
                <w:szCs w:val="18"/>
              </w:rPr>
              <w:t>000</w:t>
            </w:r>
          </w:p>
        </w:tc>
      </w:tr>
      <w:tr w:rsidR="00811D2B" w:rsidRPr="008B6FB8" w:rsidTr="00F00B8A">
        <w:trPr>
          <w:trHeight w:val="1068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811D2B" w:rsidP="004E5196">
            <w:pPr>
              <w:spacing w:after="120"/>
              <w:rPr>
                <w:caps/>
                <w:sz w:val="18"/>
                <w:szCs w:val="18"/>
              </w:rPr>
            </w:pPr>
            <w:r w:rsidRPr="008B6FB8">
              <w:rPr>
                <w:caps/>
                <w:sz w:val="18"/>
                <w:szCs w:val="18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811D2B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 xml:space="preserve">Приобретение </w:t>
            </w:r>
            <w:r>
              <w:rPr>
                <w:bCs/>
                <w:sz w:val="18"/>
                <w:szCs w:val="18"/>
              </w:rPr>
              <w:t>электрооборудования и материалов</w:t>
            </w:r>
            <w:r w:rsidRPr="008B6FB8">
              <w:rPr>
                <w:bCs/>
                <w:sz w:val="18"/>
                <w:szCs w:val="18"/>
              </w:rPr>
              <w:t xml:space="preserve"> для строительства </w:t>
            </w:r>
            <w:r>
              <w:rPr>
                <w:bCs/>
                <w:sz w:val="18"/>
                <w:szCs w:val="18"/>
              </w:rPr>
              <w:t>монтажа уличного освещения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811D2B" w:rsidP="00940E87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20</w:t>
            </w:r>
            <w:r w:rsidR="00940E87">
              <w:rPr>
                <w:bCs/>
                <w:sz w:val="18"/>
                <w:szCs w:val="18"/>
              </w:rPr>
              <w:t>23</w:t>
            </w:r>
            <w:r w:rsidRPr="008B6FB8">
              <w:rPr>
                <w:bCs/>
                <w:sz w:val="18"/>
                <w:szCs w:val="18"/>
              </w:rPr>
              <w:t>-202</w:t>
            </w:r>
            <w:r w:rsidR="00940E87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811D2B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отдел городского и ЖКХ администрации МР «Медынский район»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811D2B" w:rsidP="004E5196">
            <w:pPr>
              <w:spacing w:after="120"/>
              <w:jc w:val="center"/>
            </w:pPr>
            <w:r w:rsidRPr="008B6FB8">
              <w:rPr>
                <w:bCs/>
                <w:sz w:val="18"/>
                <w:szCs w:val="18"/>
              </w:rPr>
              <w:t>Бюджет ГП «Город Медынь»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F00B8A" w:rsidP="004E5196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F00B8A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F00B8A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F00B8A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F00B8A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F00B8A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1D2B" w:rsidRPr="008B6FB8" w:rsidRDefault="00F00B8A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2000</w:t>
            </w:r>
          </w:p>
        </w:tc>
      </w:tr>
      <w:tr w:rsidR="0019662E" w:rsidRPr="008B6FB8" w:rsidTr="00F00B8A">
        <w:trPr>
          <w:trHeight w:val="1068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62E" w:rsidRPr="008B6FB8" w:rsidRDefault="0019662E" w:rsidP="004E5196">
            <w:pPr>
              <w:spacing w:after="120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62E" w:rsidRPr="008B6FB8" w:rsidRDefault="00F00B8A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Оплата уличного освещения ГП «Город Медынь»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62E" w:rsidRPr="008B6FB8" w:rsidRDefault="0019662E" w:rsidP="00940E87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19662E">
              <w:rPr>
                <w:bCs/>
                <w:sz w:val="18"/>
                <w:szCs w:val="18"/>
              </w:rPr>
              <w:t>2023-2028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62E" w:rsidRPr="008B6FB8" w:rsidRDefault="0019662E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19662E">
              <w:rPr>
                <w:bCs/>
                <w:sz w:val="18"/>
                <w:szCs w:val="18"/>
              </w:rPr>
              <w:t>отдел городского и ЖКХ администрации МР «Медынский район»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62E" w:rsidRPr="008B6FB8" w:rsidRDefault="0019662E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19662E">
              <w:rPr>
                <w:bCs/>
                <w:sz w:val="18"/>
                <w:szCs w:val="18"/>
              </w:rPr>
              <w:t>Бюджет ГП «Город Медынь»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62E" w:rsidRDefault="00F00B8A" w:rsidP="004E5196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62E" w:rsidRPr="008B6FB8" w:rsidRDefault="00F00B8A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6200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62E" w:rsidRPr="008B6FB8" w:rsidRDefault="00F00B8A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F00B8A">
              <w:rPr>
                <w:bCs/>
                <w:sz w:val="18"/>
                <w:szCs w:val="18"/>
              </w:rPr>
              <w:t>6200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62E" w:rsidRPr="008B6FB8" w:rsidRDefault="00F00B8A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F00B8A">
              <w:rPr>
                <w:bCs/>
                <w:sz w:val="18"/>
                <w:szCs w:val="18"/>
              </w:rPr>
              <w:t>6200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62E" w:rsidRPr="008B6FB8" w:rsidRDefault="00F00B8A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F00B8A">
              <w:rPr>
                <w:bCs/>
                <w:sz w:val="18"/>
                <w:szCs w:val="18"/>
              </w:rPr>
              <w:t>6200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62E" w:rsidRPr="008B6FB8" w:rsidRDefault="00F00B8A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F00B8A">
              <w:rPr>
                <w:bCs/>
                <w:sz w:val="18"/>
                <w:szCs w:val="18"/>
              </w:rPr>
              <w:t>6200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62E" w:rsidRDefault="00F00B8A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F00B8A">
              <w:rPr>
                <w:bCs/>
                <w:sz w:val="18"/>
                <w:szCs w:val="18"/>
              </w:rPr>
              <w:t>6200</w:t>
            </w:r>
          </w:p>
        </w:tc>
      </w:tr>
      <w:tr w:rsidR="00811D2B" w:rsidRPr="008B6FB8" w:rsidTr="00F00B8A">
        <w:trPr>
          <w:trHeight w:val="1450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811D2B" w:rsidP="004E5196">
            <w:pPr>
              <w:spacing w:after="120"/>
              <w:rPr>
                <w:caps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811D2B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Всего по программе:</w:t>
            </w:r>
          </w:p>
          <w:p w:rsidR="00811D2B" w:rsidRPr="008B6FB8" w:rsidRDefault="00811D2B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в том  числе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811D2B" w:rsidP="0019662E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20</w:t>
            </w:r>
            <w:r w:rsidR="0019662E">
              <w:rPr>
                <w:bCs/>
                <w:sz w:val="18"/>
                <w:szCs w:val="18"/>
              </w:rPr>
              <w:t>23-2028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811D2B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отдел городского и ЖКХ администрации МР «Медынский район»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811D2B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Бюджет ГП «Город Медынь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F00B8A" w:rsidP="004E5196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F00B8A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11200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F00B8A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F00B8A">
              <w:rPr>
                <w:bCs/>
                <w:sz w:val="18"/>
                <w:szCs w:val="18"/>
              </w:rPr>
              <w:t>11200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F00B8A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F00B8A">
              <w:rPr>
                <w:bCs/>
                <w:sz w:val="18"/>
                <w:szCs w:val="18"/>
              </w:rPr>
              <w:t>11200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F00B8A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F00B8A">
              <w:rPr>
                <w:bCs/>
                <w:sz w:val="18"/>
                <w:szCs w:val="18"/>
              </w:rPr>
              <w:t>11200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F00B8A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F00B8A">
              <w:rPr>
                <w:bCs/>
                <w:sz w:val="18"/>
                <w:szCs w:val="18"/>
              </w:rPr>
              <w:t>11200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1D2B" w:rsidRPr="008B6FB8" w:rsidRDefault="00F00B8A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F00B8A">
              <w:rPr>
                <w:bCs/>
                <w:sz w:val="18"/>
                <w:szCs w:val="18"/>
              </w:rPr>
              <w:t>11200</w:t>
            </w:r>
          </w:p>
        </w:tc>
      </w:tr>
    </w:tbl>
    <w:p w:rsidR="00D96A16" w:rsidRDefault="00D96A16" w:rsidP="00811D2B">
      <w:pPr>
        <w:autoSpaceDE w:val="0"/>
        <w:rPr>
          <w:sz w:val="26"/>
          <w:szCs w:val="26"/>
        </w:rPr>
      </w:pPr>
    </w:p>
    <w:sectPr w:rsidR="00D96A16" w:rsidSect="00811D2B">
      <w:pgSz w:w="11906" w:h="16838"/>
      <w:pgMar w:top="851" w:right="566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47C5B"/>
    <w:multiLevelType w:val="multilevel"/>
    <w:tmpl w:val="E736A04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A612A51"/>
    <w:multiLevelType w:val="multilevel"/>
    <w:tmpl w:val="45403C12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D157BD"/>
    <w:multiLevelType w:val="multilevel"/>
    <w:tmpl w:val="82AED83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3">
    <w:nsid w:val="6998368D"/>
    <w:multiLevelType w:val="multilevel"/>
    <w:tmpl w:val="E5E0663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AC56F7"/>
    <w:multiLevelType w:val="multilevel"/>
    <w:tmpl w:val="3A4A8FA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C2"/>
    <w:rsid w:val="00023407"/>
    <w:rsid w:val="000C2E37"/>
    <w:rsid w:val="0019662E"/>
    <w:rsid w:val="001D3883"/>
    <w:rsid w:val="00261250"/>
    <w:rsid w:val="002B2475"/>
    <w:rsid w:val="0036599B"/>
    <w:rsid w:val="003F5DF0"/>
    <w:rsid w:val="00460A66"/>
    <w:rsid w:val="004E0CA5"/>
    <w:rsid w:val="004F30FD"/>
    <w:rsid w:val="00592069"/>
    <w:rsid w:val="005E2C65"/>
    <w:rsid w:val="006032AD"/>
    <w:rsid w:val="00616ED6"/>
    <w:rsid w:val="00715265"/>
    <w:rsid w:val="007565AE"/>
    <w:rsid w:val="00775232"/>
    <w:rsid w:val="00787983"/>
    <w:rsid w:val="007C7117"/>
    <w:rsid w:val="00811D2B"/>
    <w:rsid w:val="008307C2"/>
    <w:rsid w:val="008961E7"/>
    <w:rsid w:val="008C103B"/>
    <w:rsid w:val="00940E87"/>
    <w:rsid w:val="009B4248"/>
    <w:rsid w:val="009D0BE2"/>
    <w:rsid w:val="009D395A"/>
    <w:rsid w:val="009F6F49"/>
    <w:rsid w:val="00A03F8A"/>
    <w:rsid w:val="00A062D1"/>
    <w:rsid w:val="00AA1336"/>
    <w:rsid w:val="00B0484D"/>
    <w:rsid w:val="00B50C45"/>
    <w:rsid w:val="00BD05AB"/>
    <w:rsid w:val="00BD30FA"/>
    <w:rsid w:val="00C05838"/>
    <w:rsid w:val="00C7386C"/>
    <w:rsid w:val="00D96A16"/>
    <w:rsid w:val="00DC39FB"/>
    <w:rsid w:val="00E005A4"/>
    <w:rsid w:val="00E31306"/>
    <w:rsid w:val="00F00B8A"/>
    <w:rsid w:val="00F1383A"/>
    <w:rsid w:val="00FB7B80"/>
    <w:rsid w:val="00FD0519"/>
    <w:rsid w:val="00FE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  <w:rPr>
      <w:sz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4">
    <w:name w:val="WW8Num7z4"/>
    <w:qFormat/>
    <w:rPr>
      <w:rFonts w:ascii="Courier New" w:hAnsi="Courier New" w:cs="Courier New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2">
    <w:name w:val="Основной текст 2 Знак"/>
    <w:qFormat/>
    <w:rPr>
      <w:sz w:val="24"/>
      <w:szCs w:val="24"/>
    </w:rPr>
  </w:style>
  <w:style w:type="character" w:customStyle="1" w:styleId="apple-style-span">
    <w:name w:val="apple-style-span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Pr>
      <w:b/>
      <w:bCs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List Paragraph"/>
    <w:basedOn w:val="a"/>
    <w:qFormat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Calibri" w:hAnsi="Courier New" w:cs="Courier New"/>
      <w:szCs w:val="20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  <w:rPr>
      <w:sz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4">
    <w:name w:val="WW8Num7z4"/>
    <w:qFormat/>
    <w:rPr>
      <w:rFonts w:ascii="Courier New" w:hAnsi="Courier New" w:cs="Courier New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2">
    <w:name w:val="Основной текст 2 Знак"/>
    <w:qFormat/>
    <w:rPr>
      <w:sz w:val="24"/>
      <w:szCs w:val="24"/>
    </w:rPr>
  </w:style>
  <w:style w:type="character" w:customStyle="1" w:styleId="apple-style-span">
    <w:name w:val="apple-style-span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Pr>
      <w:b/>
      <w:bCs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List Paragraph"/>
    <w:basedOn w:val="a"/>
    <w:qFormat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Calibri" w:hAnsi="Courier New" w:cs="Courier New"/>
      <w:szCs w:val="20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25C524BC4DE70CB4716C7F75824B01A38E58F1B9EEC11C3DDE638AA1CD1E221B9E635ADB3C549DA795D9F7Eo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3320</Words>
  <Characters>18929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User</cp:lastModifiedBy>
  <cp:revision>20</cp:revision>
  <cp:lastPrinted>2022-12-19T11:39:00Z</cp:lastPrinted>
  <dcterms:created xsi:type="dcterms:W3CDTF">2021-09-02T08:30:00Z</dcterms:created>
  <dcterms:modified xsi:type="dcterms:W3CDTF">2023-01-12T07:01:00Z</dcterms:modified>
  <dc:language>en-US</dc:language>
</cp:coreProperties>
</file>